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16A5" w14:textId="5C9CC4A9" w:rsidR="001011FE" w:rsidRPr="007060B8" w:rsidRDefault="001011FE" w:rsidP="001011FE">
      <w:bookmarkStart w:id="0" w:name="_GoBack"/>
      <w:bookmarkEnd w:id="0"/>
      <w:r w:rsidRPr="007060B8">
        <w:tab/>
      </w:r>
      <w:r w:rsidRPr="007060B8">
        <w:tab/>
      </w:r>
      <w:r w:rsidRPr="007060B8">
        <w:tab/>
      </w:r>
      <w:r w:rsidR="00764280">
        <w:tab/>
      </w:r>
      <w:r w:rsidR="00764280">
        <w:tab/>
      </w:r>
      <w:r w:rsidRPr="007060B8">
        <w:t>Projektas</w:t>
      </w:r>
    </w:p>
    <w:p w14:paraId="7BA816A6" w14:textId="173A36E6" w:rsidR="001011FE" w:rsidRPr="007060B8" w:rsidRDefault="004A05CB" w:rsidP="001011FE">
      <w:pPr>
        <w:framePr w:hSpace="180" w:wrap="around" w:vAnchor="text" w:hAnchor="page" w:x="5881" w:y="1"/>
      </w:pPr>
      <w:r>
        <w:rPr>
          <w:noProof/>
          <w:lang w:val="en-GB" w:eastAsia="en-GB"/>
        </w:rPr>
        <w:drawing>
          <wp:inline distT="0" distB="0" distL="0" distR="0" wp14:anchorId="21122A9E" wp14:editId="50F9B8FA">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BA816A7" w14:textId="77777777" w:rsidR="001011FE" w:rsidRPr="007060B8" w:rsidRDefault="001011FE" w:rsidP="001011FE">
      <w:pPr>
        <w:jc w:val="both"/>
      </w:pPr>
    </w:p>
    <w:p w14:paraId="7BA816A8" w14:textId="77777777" w:rsidR="001011FE" w:rsidRPr="007060B8" w:rsidRDefault="001011FE" w:rsidP="001011FE"/>
    <w:p w14:paraId="7BA816A9" w14:textId="77777777" w:rsidR="001011FE" w:rsidRPr="007060B8" w:rsidRDefault="001011FE" w:rsidP="001011FE"/>
    <w:p w14:paraId="7BA816AA" w14:textId="77777777" w:rsidR="001011FE" w:rsidRPr="00072401" w:rsidRDefault="001011FE" w:rsidP="001011FE">
      <w:pPr>
        <w:jc w:val="center"/>
        <w:rPr>
          <w:b/>
        </w:rPr>
      </w:pPr>
    </w:p>
    <w:p w14:paraId="7BA816AB" w14:textId="77777777" w:rsidR="001011FE" w:rsidRPr="00072401" w:rsidRDefault="001011FE" w:rsidP="001011FE">
      <w:pPr>
        <w:jc w:val="center"/>
        <w:rPr>
          <w:b/>
        </w:rPr>
      </w:pPr>
    </w:p>
    <w:p w14:paraId="7BA816AC" w14:textId="77777777" w:rsidR="001011FE" w:rsidRPr="00072401" w:rsidRDefault="001011FE" w:rsidP="001011FE">
      <w:pPr>
        <w:jc w:val="center"/>
        <w:rPr>
          <w:b/>
        </w:rPr>
      </w:pPr>
      <w:r w:rsidRPr="00072401">
        <w:rPr>
          <w:b/>
        </w:rPr>
        <w:t>ROKIŠKIO RAJONO SAVIVALDYBĖS TARYBA</w:t>
      </w:r>
    </w:p>
    <w:p w14:paraId="7BA816AD" w14:textId="77777777" w:rsidR="001011FE" w:rsidRPr="00072401" w:rsidRDefault="001011FE" w:rsidP="001011FE">
      <w:pPr>
        <w:jc w:val="center"/>
        <w:rPr>
          <w:b/>
        </w:rPr>
      </w:pPr>
    </w:p>
    <w:p w14:paraId="7BA816AE" w14:textId="77777777" w:rsidR="001011FE" w:rsidRPr="00072401" w:rsidRDefault="001011FE" w:rsidP="001011FE">
      <w:pPr>
        <w:jc w:val="center"/>
        <w:rPr>
          <w:b/>
        </w:rPr>
      </w:pPr>
      <w:r w:rsidRPr="00072401">
        <w:rPr>
          <w:b/>
        </w:rPr>
        <w:t>S P R E N D I M AS</w:t>
      </w:r>
    </w:p>
    <w:p w14:paraId="05C331FD" w14:textId="3A878601" w:rsidR="00794FAE" w:rsidRDefault="00794FAE" w:rsidP="00764280">
      <w:pPr>
        <w:jc w:val="center"/>
        <w:rPr>
          <w:b/>
        </w:rPr>
      </w:pPr>
      <w:r>
        <w:rPr>
          <w:b/>
        </w:rPr>
        <w:t xml:space="preserve">DĖL ROKIŠKIO RAJONO SAVIVALDYBĖS TARYBAI TEIKIAMŲ DERINTI AB „PANEVĖŽIO ENERGIJA“ 2016 METŲ FAKTINIŲ INVESTICIJŲ IR 2017–2018 METŲ PLANUOJAMŲ INVESTICIJŲ ROKIŠKIO ŠILUMOS TINKLŲ RAJONE PATIKSLINIMO </w:t>
      </w:r>
    </w:p>
    <w:p w14:paraId="7BA816B1" w14:textId="77777777" w:rsidR="001011FE" w:rsidRPr="00193D9E" w:rsidRDefault="001011FE" w:rsidP="001011FE">
      <w:pPr>
        <w:jc w:val="center"/>
        <w:rPr>
          <w:b/>
        </w:rPr>
      </w:pPr>
    </w:p>
    <w:p w14:paraId="7BA816B2" w14:textId="0FDAC92D" w:rsidR="001011FE" w:rsidRPr="00193D9E" w:rsidRDefault="00030AD1" w:rsidP="001011FE">
      <w:pPr>
        <w:jc w:val="center"/>
      </w:pPr>
      <w:r>
        <w:t>2018 m. balandžio 27</w:t>
      </w:r>
      <w:r w:rsidR="001011FE" w:rsidRPr="00193D9E">
        <w:t xml:space="preserve"> d. Nr. TS -</w:t>
      </w:r>
    </w:p>
    <w:p w14:paraId="7BA816B3" w14:textId="77777777" w:rsidR="001011FE" w:rsidRPr="00193D9E" w:rsidRDefault="001011FE" w:rsidP="001011FE">
      <w:pPr>
        <w:jc w:val="center"/>
      </w:pPr>
      <w:r w:rsidRPr="00193D9E">
        <w:t>Rokiškis</w:t>
      </w:r>
    </w:p>
    <w:p w14:paraId="7BA816B4" w14:textId="77777777" w:rsidR="001011FE" w:rsidRDefault="001011FE" w:rsidP="001011FE"/>
    <w:p w14:paraId="05316762" w14:textId="77777777" w:rsidR="00764280" w:rsidRPr="000052C4" w:rsidRDefault="00764280" w:rsidP="001011FE"/>
    <w:p w14:paraId="7BA816B6" w14:textId="68B51C04" w:rsidR="001011FE" w:rsidRPr="000052C4" w:rsidRDefault="001011FE" w:rsidP="00764280">
      <w:pPr>
        <w:pStyle w:val="Pagrindinistekstas"/>
        <w:spacing w:line="240" w:lineRule="auto"/>
        <w:ind w:firstLine="851"/>
        <w:jc w:val="both"/>
        <w:rPr>
          <w:szCs w:val="24"/>
        </w:rPr>
      </w:pPr>
      <w:r w:rsidRPr="000052C4">
        <w:rPr>
          <w:szCs w:val="24"/>
        </w:rPr>
        <w:t>Vadovaudamasis Lietuvos Respublikos vietos savivaldos įstatymo 6 straipsnio 1 dalies 3</w:t>
      </w:r>
      <w:r w:rsidR="002155C9" w:rsidRPr="000052C4">
        <w:rPr>
          <w:szCs w:val="24"/>
        </w:rPr>
        <w:t>0</w:t>
      </w:r>
      <w:r w:rsidRPr="000052C4">
        <w:rPr>
          <w:szCs w:val="24"/>
        </w:rPr>
        <w:t xml:space="preserve"> punktu, </w:t>
      </w:r>
      <w:r w:rsidR="002155C9" w:rsidRPr="000052C4">
        <w:rPr>
          <w:szCs w:val="24"/>
        </w:rPr>
        <w:t xml:space="preserve">16 straipsnio 4 dalimi, </w:t>
      </w:r>
      <w:r w:rsidRPr="000052C4">
        <w:rPr>
          <w:szCs w:val="24"/>
        </w:rPr>
        <w:t>Lietuvos Respublikos šilumos ūkio įstatymo 35 straipsniu, Rokiškio rajono savivaldybės tarybos 2008 m. spalio 31 d. sprendimu Nr. TS-10.177 „Dėl Šilumos tiekėjų investicinių projektų (planų) derinimo su Rokiškio rajono savivaldybės taryba tvarkos“,</w:t>
      </w:r>
      <w:r w:rsidR="00764280">
        <w:rPr>
          <w:szCs w:val="24"/>
        </w:rPr>
        <w:t xml:space="preserve"> </w:t>
      </w:r>
      <w:r w:rsidRPr="000052C4">
        <w:rPr>
          <w:szCs w:val="24"/>
        </w:rPr>
        <w:t>Rokiškio rajono savivaldybės taryba  n u s p r e n d ž i a:</w:t>
      </w:r>
    </w:p>
    <w:p w14:paraId="1981E8F2" w14:textId="77777777" w:rsidR="00392EBC" w:rsidRDefault="001011FE" w:rsidP="00764280">
      <w:pPr>
        <w:pStyle w:val="Pagrindinistekstas"/>
        <w:spacing w:line="240" w:lineRule="auto"/>
        <w:ind w:firstLine="851"/>
        <w:jc w:val="both"/>
        <w:rPr>
          <w:szCs w:val="24"/>
        </w:rPr>
      </w:pPr>
      <w:r w:rsidRPr="000052C4">
        <w:rPr>
          <w:szCs w:val="24"/>
        </w:rPr>
        <w:t xml:space="preserve">Suderinti akcinės bendrovės „Panevėžio energija“ </w:t>
      </w:r>
      <w:r w:rsidR="00E12A95">
        <w:rPr>
          <w:szCs w:val="24"/>
        </w:rPr>
        <w:t xml:space="preserve">patikslintas </w:t>
      </w:r>
      <w:r w:rsidR="008B09FA">
        <w:rPr>
          <w:szCs w:val="24"/>
        </w:rPr>
        <w:t>2016 metų faktines ir 2018</w:t>
      </w:r>
      <w:r w:rsidR="004A05CB">
        <w:rPr>
          <w:szCs w:val="24"/>
        </w:rPr>
        <w:t>–</w:t>
      </w:r>
      <w:r w:rsidR="00E12A95">
        <w:rPr>
          <w:szCs w:val="24"/>
        </w:rPr>
        <w:t>2018</w:t>
      </w:r>
      <w:r w:rsidR="00C97BA8" w:rsidRPr="000052C4">
        <w:rPr>
          <w:szCs w:val="24"/>
        </w:rPr>
        <w:t xml:space="preserve"> metų </w:t>
      </w:r>
      <w:r w:rsidR="008B09FA">
        <w:rPr>
          <w:szCs w:val="24"/>
        </w:rPr>
        <w:t xml:space="preserve">planuojamas </w:t>
      </w:r>
      <w:r w:rsidR="00E12A95">
        <w:rPr>
          <w:szCs w:val="24"/>
        </w:rPr>
        <w:t>investicijas Rokiškio šilumos tinklų rajone (pridedama).</w:t>
      </w:r>
    </w:p>
    <w:p w14:paraId="1988A321" w14:textId="0341C896" w:rsidR="00392EBC" w:rsidRDefault="00392EBC" w:rsidP="00764280">
      <w:pPr>
        <w:pStyle w:val="Pagrindinistekstas"/>
        <w:spacing w:line="240" w:lineRule="auto"/>
        <w:ind w:firstLine="851"/>
        <w:jc w:val="both"/>
      </w:pPr>
      <w:r>
        <w:t>Sprendimas per vieną mėnesį gali būti skundžiamas Regionų apygardos administraciniam teismui, skundą (prašymą) paduodant bet kuriuose šio teismo rūmuose, Lietuvos Respublikos administracinių bylų teisenos įstatymo nustatyta tvarka.</w:t>
      </w:r>
    </w:p>
    <w:p w14:paraId="7BA816BA" w14:textId="77777777" w:rsidR="001011FE" w:rsidRPr="000052C4" w:rsidRDefault="001011FE" w:rsidP="00764280">
      <w:pPr>
        <w:ind w:firstLine="851"/>
        <w:jc w:val="both"/>
      </w:pPr>
    </w:p>
    <w:p w14:paraId="7BA816BB" w14:textId="77777777" w:rsidR="001011FE" w:rsidRPr="000052C4" w:rsidRDefault="001011FE" w:rsidP="001011FE">
      <w:pPr>
        <w:ind w:left="-284"/>
        <w:jc w:val="both"/>
      </w:pPr>
    </w:p>
    <w:p w14:paraId="7BA816BC" w14:textId="77777777" w:rsidR="001011FE" w:rsidRPr="000052C4" w:rsidRDefault="001011FE" w:rsidP="001011FE">
      <w:pPr>
        <w:ind w:left="-284"/>
        <w:jc w:val="both"/>
      </w:pPr>
    </w:p>
    <w:p w14:paraId="7BA816BD" w14:textId="77777777" w:rsidR="001011FE" w:rsidRPr="000052C4" w:rsidRDefault="001011FE" w:rsidP="001011FE">
      <w:pPr>
        <w:jc w:val="both"/>
      </w:pPr>
      <w:r w:rsidRPr="000052C4">
        <w:t>Savivaldybės meras</w:t>
      </w:r>
      <w:r w:rsidRPr="000052C4">
        <w:tab/>
      </w:r>
      <w:r w:rsidRPr="000052C4">
        <w:tab/>
      </w:r>
      <w:r w:rsidRPr="000052C4">
        <w:tab/>
      </w:r>
      <w:r w:rsidRPr="000052C4">
        <w:tab/>
        <w:t>Antanas Vagonis</w:t>
      </w:r>
    </w:p>
    <w:p w14:paraId="7BA816BE" w14:textId="77777777" w:rsidR="001011FE" w:rsidRPr="000052C4" w:rsidRDefault="001011FE" w:rsidP="001011FE">
      <w:pPr>
        <w:ind w:left="-284"/>
        <w:jc w:val="both"/>
      </w:pPr>
    </w:p>
    <w:p w14:paraId="7BA816BF" w14:textId="77777777" w:rsidR="003A7BA0" w:rsidRPr="000052C4" w:rsidRDefault="003A7BA0" w:rsidP="001011FE">
      <w:r w:rsidRPr="000052C4">
        <w:tab/>
      </w:r>
    </w:p>
    <w:p w14:paraId="7BA816C0" w14:textId="77777777" w:rsidR="003A7BA0" w:rsidRPr="000052C4" w:rsidRDefault="003A7BA0" w:rsidP="00D064BE">
      <w:pPr>
        <w:ind w:left="-284"/>
        <w:jc w:val="both"/>
      </w:pPr>
    </w:p>
    <w:p w14:paraId="7BA816C1" w14:textId="77777777" w:rsidR="003A7BA0" w:rsidRPr="000052C4" w:rsidRDefault="003A7BA0" w:rsidP="00D064BE">
      <w:pPr>
        <w:ind w:left="-284"/>
        <w:jc w:val="both"/>
      </w:pPr>
    </w:p>
    <w:p w14:paraId="7BA816C2" w14:textId="77777777" w:rsidR="0011716C" w:rsidRPr="000052C4" w:rsidRDefault="0011716C" w:rsidP="00B73BD1">
      <w:pPr>
        <w:jc w:val="both"/>
      </w:pPr>
    </w:p>
    <w:p w14:paraId="7BA816C3" w14:textId="77777777" w:rsidR="0011716C" w:rsidRPr="000052C4" w:rsidRDefault="0011716C" w:rsidP="00B73BD1">
      <w:pPr>
        <w:jc w:val="both"/>
      </w:pPr>
    </w:p>
    <w:p w14:paraId="7BA816C4" w14:textId="77777777" w:rsidR="0011716C" w:rsidRPr="000052C4" w:rsidRDefault="0011716C" w:rsidP="00B73BD1">
      <w:pPr>
        <w:jc w:val="both"/>
      </w:pPr>
    </w:p>
    <w:p w14:paraId="7BA816C5" w14:textId="77777777" w:rsidR="0011716C" w:rsidRPr="000052C4" w:rsidRDefault="0011716C" w:rsidP="00B73BD1">
      <w:pPr>
        <w:jc w:val="both"/>
      </w:pPr>
    </w:p>
    <w:p w14:paraId="7BA816C6" w14:textId="77777777" w:rsidR="0011716C" w:rsidRDefault="0011716C" w:rsidP="00B73BD1">
      <w:pPr>
        <w:jc w:val="both"/>
      </w:pPr>
    </w:p>
    <w:p w14:paraId="19B3F2A2" w14:textId="77777777" w:rsidR="004A05CB" w:rsidRDefault="004A05CB" w:rsidP="00B73BD1">
      <w:pPr>
        <w:jc w:val="both"/>
      </w:pPr>
    </w:p>
    <w:p w14:paraId="276FE2E8" w14:textId="77777777" w:rsidR="004A05CB" w:rsidRDefault="004A05CB" w:rsidP="00B73BD1">
      <w:pPr>
        <w:jc w:val="both"/>
      </w:pPr>
    </w:p>
    <w:p w14:paraId="0A609EA6" w14:textId="77777777" w:rsidR="004A05CB" w:rsidRDefault="004A05CB" w:rsidP="00B73BD1">
      <w:pPr>
        <w:jc w:val="both"/>
      </w:pPr>
    </w:p>
    <w:p w14:paraId="37B2FAE8" w14:textId="77777777" w:rsidR="004A05CB" w:rsidRDefault="004A05CB" w:rsidP="00B73BD1">
      <w:pPr>
        <w:jc w:val="both"/>
      </w:pPr>
    </w:p>
    <w:p w14:paraId="68505D63" w14:textId="77777777" w:rsidR="004A05CB" w:rsidRDefault="004A05CB" w:rsidP="00B73BD1">
      <w:pPr>
        <w:jc w:val="both"/>
      </w:pPr>
    </w:p>
    <w:p w14:paraId="6E1B8743" w14:textId="77777777" w:rsidR="004A05CB" w:rsidRPr="000052C4" w:rsidRDefault="004A05CB" w:rsidP="00B73BD1">
      <w:pPr>
        <w:jc w:val="both"/>
      </w:pPr>
    </w:p>
    <w:p w14:paraId="7BA816C7" w14:textId="77777777" w:rsidR="0011716C" w:rsidRPr="000052C4" w:rsidRDefault="0011716C" w:rsidP="00B73BD1">
      <w:pPr>
        <w:jc w:val="both"/>
      </w:pPr>
    </w:p>
    <w:p w14:paraId="7BA816C8" w14:textId="77777777" w:rsidR="0011716C" w:rsidRPr="000052C4" w:rsidRDefault="0011716C" w:rsidP="00B73BD1">
      <w:pPr>
        <w:jc w:val="both"/>
      </w:pPr>
    </w:p>
    <w:p w14:paraId="7BA816C9" w14:textId="77777777" w:rsidR="0011716C" w:rsidRPr="000052C4" w:rsidRDefault="0011716C" w:rsidP="00B73BD1">
      <w:pPr>
        <w:jc w:val="both"/>
      </w:pPr>
    </w:p>
    <w:p w14:paraId="7BA816CA" w14:textId="0BE3CDF2" w:rsidR="00A43D6E" w:rsidRPr="000052C4" w:rsidRDefault="00451C72" w:rsidP="00B73BD1">
      <w:pPr>
        <w:jc w:val="both"/>
      </w:pPr>
      <w:r>
        <w:t>Vida Paukštienė</w:t>
      </w:r>
    </w:p>
    <w:p w14:paraId="7BA816CB" w14:textId="77777777" w:rsidR="00A43D6E" w:rsidRPr="000052C4" w:rsidRDefault="00A43D6E" w:rsidP="00D064BE">
      <w:pPr>
        <w:ind w:left="-284"/>
        <w:jc w:val="both"/>
      </w:pPr>
    </w:p>
    <w:p w14:paraId="7BA816CC" w14:textId="31210F8D" w:rsidR="00CA7F9F" w:rsidRDefault="00CA7F9F" w:rsidP="001011FE">
      <w:pPr>
        <w:jc w:val="both"/>
        <w:sectPr w:rsidR="00CA7F9F" w:rsidSect="00253C24">
          <w:pgSz w:w="11906" w:h="16838"/>
          <w:pgMar w:top="851" w:right="567" w:bottom="1134" w:left="1701" w:header="567" w:footer="567" w:gutter="0"/>
          <w:cols w:space="1296"/>
          <w:docGrid w:linePitch="360"/>
        </w:sectPr>
      </w:pPr>
    </w:p>
    <w:tbl>
      <w:tblPr>
        <w:tblW w:w="15287" w:type="dxa"/>
        <w:tblInd w:w="228" w:type="dxa"/>
        <w:tblLook w:val="04A0" w:firstRow="1" w:lastRow="0" w:firstColumn="1" w:lastColumn="0" w:noHBand="0" w:noVBand="1"/>
      </w:tblPr>
      <w:tblGrid>
        <w:gridCol w:w="693"/>
        <w:gridCol w:w="3298"/>
        <w:gridCol w:w="1702"/>
        <w:gridCol w:w="1350"/>
        <w:gridCol w:w="1134"/>
        <w:gridCol w:w="1323"/>
        <w:gridCol w:w="1323"/>
        <w:gridCol w:w="1629"/>
        <w:gridCol w:w="2835"/>
      </w:tblGrid>
      <w:tr w:rsidR="00FE21FB" w:rsidRPr="009F7009" w14:paraId="4396A0C2" w14:textId="77777777" w:rsidTr="009F7009">
        <w:trPr>
          <w:trHeight w:val="109"/>
        </w:trPr>
        <w:tc>
          <w:tcPr>
            <w:tcW w:w="693" w:type="dxa"/>
            <w:noWrap/>
            <w:vAlign w:val="bottom"/>
          </w:tcPr>
          <w:p w14:paraId="718D6B66" w14:textId="77777777" w:rsidR="00FE21FB" w:rsidRPr="009F7009" w:rsidRDefault="00FE21FB"/>
        </w:tc>
        <w:tc>
          <w:tcPr>
            <w:tcW w:w="3298" w:type="dxa"/>
            <w:noWrap/>
            <w:vAlign w:val="bottom"/>
          </w:tcPr>
          <w:p w14:paraId="595E0CAF" w14:textId="77777777" w:rsidR="00FE21FB" w:rsidRPr="009F7009" w:rsidRDefault="00FE21FB"/>
        </w:tc>
        <w:tc>
          <w:tcPr>
            <w:tcW w:w="1702" w:type="dxa"/>
            <w:noWrap/>
            <w:vAlign w:val="bottom"/>
          </w:tcPr>
          <w:p w14:paraId="08196D52" w14:textId="77777777" w:rsidR="00FE21FB" w:rsidRPr="009F7009" w:rsidRDefault="00FE21FB"/>
        </w:tc>
        <w:tc>
          <w:tcPr>
            <w:tcW w:w="1350" w:type="dxa"/>
            <w:noWrap/>
            <w:vAlign w:val="bottom"/>
          </w:tcPr>
          <w:p w14:paraId="52838ACD" w14:textId="77777777" w:rsidR="00FE21FB" w:rsidRPr="009F7009" w:rsidRDefault="00FE21FB"/>
        </w:tc>
        <w:tc>
          <w:tcPr>
            <w:tcW w:w="1134" w:type="dxa"/>
            <w:noWrap/>
            <w:vAlign w:val="bottom"/>
          </w:tcPr>
          <w:p w14:paraId="1B70B42A" w14:textId="77777777" w:rsidR="00FE21FB" w:rsidRPr="009F7009" w:rsidRDefault="00FE21FB"/>
        </w:tc>
        <w:tc>
          <w:tcPr>
            <w:tcW w:w="1323" w:type="dxa"/>
            <w:noWrap/>
            <w:vAlign w:val="bottom"/>
          </w:tcPr>
          <w:p w14:paraId="4DBC72FE" w14:textId="77777777" w:rsidR="00FE21FB" w:rsidRPr="009F7009" w:rsidRDefault="00FE21FB"/>
        </w:tc>
        <w:tc>
          <w:tcPr>
            <w:tcW w:w="5787" w:type="dxa"/>
            <w:gridSpan w:val="3"/>
            <w:noWrap/>
            <w:vAlign w:val="bottom"/>
            <w:hideMark/>
          </w:tcPr>
          <w:p w14:paraId="51945BE7" w14:textId="77777777" w:rsidR="00FE21FB" w:rsidRPr="009F7009" w:rsidRDefault="00FE21FB">
            <w:r w:rsidRPr="009F7009">
              <w:t xml:space="preserve">               Rokiškio rajono savivaldybės tarybos</w:t>
            </w:r>
          </w:p>
        </w:tc>
      </w:tr>
      <w:tr w:rsidR="00FE21FB" w:rsidRPr="009F7009" w14:paraId="4EC6B048" w14:textId="77777777" w:rsidTr="009F7009">
        <w:trPr>
          <w:trHeight w:val="109"/>
        </w:trPr>
        <w:tc>
          <w:tcPr>
            <w:tcW w:w="693" w:type="dxa"/>
            <w:noWrap/>
            <w:vAlign w:val="bottom"/>
          </w:tcPr>
          <w:p w14:paraId="04A20547" w14:textId="77777777" w:rsidR="00FE21FB" w:rsidRPr="009F7009" w:rsidRDefault="00FE21FB"/>
        </w:tc>
        <w:tc>
          <w:tcPr>
            <w:tcW w:w="3298" w:type="dxa"/>
            <w:noWrap/>
            <w:vAlign w:val="bottom"/>
          </w:tcPr>
          <w:p w14:paraId="56B11D41" w14:textId="77777777" w:rsidR="00FE21FB" w:rsidRPr="009F7009" w:rsidRDefault="00FE21FB"/>
        </w:tc>
        <w:tc>
          <w:tcPr>
            <w:tcW w:w="1702" w:type="dxa"/>
            <w:noWrap/>
            <w:vAlign w:val="bottom"/>
          </w:tcPr>
          <w:p w14:paraId="63BC23BF" w14:textId="77777777" w:rsidR="00FE21FB" w:rsidRPr="009F7009" w:rsidRDefault="00FE21FB"/>
        </w:tc>
        <w:tc>
          <w:tcPr>
            <w:tcW w:w="1350" w:type="dxa"/>
            <w:noWrap/>
            <w:vAlign w:val="bottom"/>
          </w:tcPr>
          <w:p w14:paraId="43B44E1F" w14:textId="77777777" w:rsidR="00FE21FB" w:rsidRPr="009F7009" w:rsidRDefault="00FE21FB"/>
        </w:tc>
        <w:tc>
          <w:tcPr>
            <w:tcW w:w="1134" w:type="dxa"/>
            <w:noWrap/>
            <w:vAlign w:val="bottom"/>
          </w:tcPr>
          <w:p w14:paraId="7725DF23" w14:textId="77777777" w:rsidR="00FE21FB" w:rsidRPr="009F7009" w:rsidRDefault="00FE21FB"/>
        </w:tc>
        <w:tc>
          <w:tcPr>
            <w:tcW w:w="1323" w:type="dxa"/>
            <w:noWrap/>
            <w:vAlign w:val="bottom"/>
          </w:tcPr>
          <w:p w14:paraId="02EE46CB" w14:textId="77777777" w:rsidR="00FE21FB" w:rsidRPr="009F7009" w:rsidRDefault="00FE21FB"/>
        </w:tc>
        <w:tc>
          <w:tcPr>
            <w:tcW w:w="5787" w:type="dxa"/>
            <w:gridSpan w:val="3"/>
            <w:noWrap/>
            <w:vAlign w:val="bottom"/>
            <w:hideMark/>
          </w:tcPr>
          <w:p w14:paraId="0A1E7DA4" w14:textId="55ABCA94" w:rsidR="00FE21FB" w:rsidRPr="009F7009" w:rsidRDefault="00764280">
            <w:r>
              <w:t xml:space="preserve">               2018 m. balandžio 27 d. sprendimo Nr. TS-</w:t>
            </w:r>
          </w:p>
        </w:tc>
      </w:tr>
      <w:tr w:rsidR="00FE21FB" w:rsidRPr="009F7009" w14:paraId="69C2A057" w14:textId="77777777" w:rsidTr="009F7009">
        <w:trPr>
          <w:trHeight w:val="109"/>
        </w:trPr>
        <w:tc>
          <w:tcPr>
            <w:tcW w:w="693" w:type="dxa"/>
            <w:noWrap/>
            <w:vAlign w:val="bottom"/>
          </w:tcPr>
          <w:p w14:paraId="3765915D" w14:textId="77777777" w:rsidR="00FE21FB" w:rsidRPr="009F7009" w:rsidRDefault="00FE21FB"/>
        </w:tc>
        <w:tc>
          <w:tcPr>
            <w:tcW w:w="3298" w:type="dxa"/>
            <w:noWrap/>
            <w:vAlign w:val="bottom"/>
          </w:tcPr>
          <w:p w14:paraId="4E8677D3" w14:textId="77777777" w:rsidR="00FE21FB" w:rsidRPr="009F7009" w:rsidRDefault="00FE21FB"/>
        </w:tc>
        <w:tc>
          <w:tcPr>
            <w:tcW w:w="1702" w:type="dxa"/>
            <w:noWrap/>
            <w:vAlign w:val="bottom"/>
          </w:tcPr>
          <w:p w14:paraId="17AFA7BB" w14:textId="77777777" w:rsidR="00FE21FB" w:rsidRPr="009F7009" w:rsidRDefault="00FE21FB"/>
        </w:tc>
        <w:tc>
          <w:tcPr>
            <w:tcW w:w="1350" w:type="dxa"/>
            <w:noWrap/>
            <w:vAlign w:val="bottom"/>
          </w:tcPr>
          <w:p w14:paraId="48C26EC0" w14:textId="77777777" w:rsidR="00FE21FB" w:rsidRPr="009F7009" w:rsidRDefault="00FE21FB"/>
        </w:tc>
        <w:tc>
          <w:tcPr>
            <w:tcW w:w="1134" w:type="dxa"/>
            <w:noWrap/>
            <w:vAlign w:val="bottom"/>
          </w:tcPr>
          <w:p w14:paraId="661F8FF8" w14:textId="77777777" w:rsidR="00FE21FB" w:rsidRPr="009F7009" w:rsidRDefault="00FE21FB"/>
        </w:tc>
        <w:tc>
          <w:tcPr>
            <w:tcW w:w="1323" w:type="dxa"/>
            <w:noWrap/>
            <w:vAlign w:val="bottom"/>
          </w:tcPr>
          <w:p w14:paraId="63E2FD3A" w14:textId="77777777" w:rsidR="00FE21FB" w:rsidRPr="009F7009" w:rsidRDefault="00FE21FB"/>
        </w:tc>
        <w:tc>
          <w:tcPr>
            <w:tcW w:w="5787" w:type="dxa"/>
            <w:gridSpan w:val="3"/>
            <w:noWrap/>
            <w:vAlign w:val="bottom"/>
            <w:hideMark/>
          </w:tcPr>
          <w:p w14:paraId="161975A3" w14:textId="77777777" w:rsidR="00FE21FB" w:rsidRPr="009F7009" w:rsidRDefault="00FE21FB">
            <w:r w:rsidRPr="009F7009">
              <w:t xml:space="preserve">               priedas</w:t>
            </w:r>
          </w:p>
        </w:tc>
      </w:tr>
      <w:tr w:rsidR="00FE21FB" w:rsidRPr="009F7009" w14:paraId="08B41FC1" w14:textId="77777777" w:rsidTr="009F7009">
        <w:trPr>
          <w:trHeight w:val="109"/>
        </w:trPr>
        <w:tc>
          <w:tcPr>
            <w:tcW w:w="693" w:type="dxa"/>
            <w:noWrap/>
            <w:vAlign w:val="bottom"/>
          </w:tcPr>
          <w:p w14:paraId="6A8E174C" w14:textId="77777777" w:rsidR="00FE21FB" w:rsidRPr="009F7009" w:rsidRDefault="00FE21FB"/>
        </w:tc>
        <w:tc>
          <w:tcPr>
            <w:tcW w:w="8807" w:type="dxa"/>
            <w:gridSpan w:val="5"/>
            <w:noWrap/>
            <w:vAlign w:val="bottom"/>
          </w:tcPr>
          <w:p w14:paraId="6820BBD0" w14:textId="77777777" w:rsidR="00FE21FB" w:rsidRPr="009F7009" w:rsidRDefault="00FE21FB">
            <w:pPr>
              <w:rPr>
                <w:b/>
                <w:bCs/>
              </w:rPr>
            </w:pPr>
          </w:p>
        </w:tc>
        <w:tc>
          <w:tcPr>
            <w:tcW w:w="1323" w:type="dxa"/>
            <w:noWrap/>
            <w:vAlign w:val="bottom"/>
          </w:tcPr>
          <w:p w14:paraId="4AD20868" w14:textId="77777777" w:rsidR="00FE21FB" w:rsidRPr="009F7009" w:rsidRDefault="00FE21FB"/>
        </w:tc>
        <w:tc>
          <w:tcPr>
            <w:tcW w:w="1629" w:type="dxa"/>
            <w:noWrap/>
            <w:vAlign w:val="bottom"/>
          </w:tcPr>
          <w:p w14:paraId="7699628F" w14:textId="77777777" w:rsidR="00FE21FB" w:rsidRPr="009F7009" w:rsidRDefault="00FE21FB"/>
        </w:tc>
        <w:tc>
          <w:tcPr>
            <w:tcW w:w="2835" w:type="dxa"/>
            <w:noWrap/>
            <w:vAlign w:val="bottom"/>
          </w:tcPr>
          <w:p w14:paraId="7566ED8D" w14:textId="77777777" w:rsidR="00FE21FB" w:rsidRPr="009F7009" w:rsidRDefault="00FE21FB"/>
        </w:tc>
      </w:tr>
      <w:tr w:rsidR="00FE21FB" w:rsidRPr="009F7009" w14:paraId="18E38441" w14:textId="77777777" w:rsidTr="009F7009">
        <w:trPr>
          <w:trHeight w:val="109"/>
        </w:trPr>
        <w:tc>
          <w:tcPr>
            <w:tcW w:w="15287" w:type="dxa"/>
            <w:gridSpan w:val="9"/>
            <w:noWrap/>
            <w:vAlign w:val="bottom"/>
            <w:hideMark/>
          </w:tcPr>
          <w:p w14:paraId="0132E763" w14:textId="46223A3D" w:rsidR="00FE21FB" w:rsidRPr="009F7009" w:rsidRDefault="00FE21FB" w:rsidP="00A47BE9">
            <w:pPr>
              <w:jc w:val="center"/>
              <w:rPr>
                <w:b/>
                <w:bCs/>
              </w:rPr>
            </w:pPr>
            <w:r w:rsidRPr="009F7009">
              <w:rPr>
                <w:b/>
                <w:bCs/>
              </w:rPr>
              <w:t xml:space="preserve">AB </w:t>
            </w:r>
            <w:r w:rsidR="00A47BE9">
              <w:rPr>
                <w:b/>
                <w:bCs/>
              </w:rPr>
              <w:t>,,</w:t>
            </w:r>
            <w:r w:rsidRPr="009F7009">
              <w:rPr>
                <w:b/>
                <w:bCs/>
              </w:rPr>
              <w:t>PANEVĖŽIO ENERGIJA</w:t>
            </w:r>
            <w:r w:rsidR="00A47BE9">
              <w:rPr>
                <w:b/>
                <w:bCs/>
              </w:rPr>
              <w:t>“</w:t>
            </w:r>
            <w:r w:rsidRPr="009F7009">
              <w:rPr>
                <w:b/>
                <w:bCs/>
              </w:rPr>
              <w:t xml:space="preserve"> 2016 METŲ FAKTINIŲ INVESTICIJŲ IR 2017–2018 METŲ PLANUOJAMŲ INVESTICIJŲ ROKIŠKIO ŠILUMOS TINKLŲ RAJONE PATIKSLINIMAS</w:t>
            </w:r>
          </w:p>
        </w:tc>
      </w:tr>
      <w:tr w:rsidR="00FE21FB" w:rsidRPr="009F7009" w14:paraId="208BE31E" w14:textId="77777777" w:rsidTr="009F7009">
        <w:trPr>
          <w:trHeight w:val="109"/>
        </w:trPr>
        <w:tc>
          <w:tcPr>
            <w:tcW w:w="693" w:type="dxa"/>
            <w:noWrap/>
            <w:vAlign w:val="bottom"/>
          </w:tcPr>
          <w:p w14:paraId="6B55696F" w14:textId="77777777" w:rsidR="00FE21FB" w:rsidRPr="009F7009" w:rsidRDefault="00FE21FB"/>
        </w:tc>
        <w:tc>
          <w:tcPr>
            <w:tcW w:w="8807" w:type="dxa"/>
            <w:gridSpan w:val="5"/>
            <w:noWrap/>
            <w:vAlign w:val="bottom"/>
          </w:tcPr>
          <w:p w14:paraId="46BAB907" w14:textId="77777777" w:rsidR="00FE21FB" w:rsidRPr="009F7009" w:rsidRDefault="00FE21FB">
            <w:pPr>
              <w:rPr>
                <w:b/>
                <w:bCs/>
              </w:rPr>
            </w:pPr>
          </w:p>
        </w:tc>
        <w:tc>
          <w:tcPr>
            <w:tcW w:w="1323" w:type="dxa"/>
            <w:noWrap/>
            <w:vAlign w:val="bottom"/>
          </w:tcPr>
          <w:p w14:paraId="045920C8" w14:textId="77777777" w:rsidR="00FE21FB" w:rsidRPr="009F7009" w:rsidRDefault="00FE21FB"/>
        </w:tc>
        <w:tc>
          <w:tcPr>
            <w:tcW w:w="1629" w:type="dxa"/>
            <w:noWrap/>
            <w:vAlign w:val="bottom"/>
          </w:tcPr>
          <w:p w14:paraId="6A4B46F6" w14:textId="77777777" w:rsidR="00FE21FB" w:rsidRPr="009F7009" w:rsidRDefault="00FE21FB"/>
        </w:tc>
        <w:tc>
          <w:tcPr>
            <w:tcW w:w="2835" w:type="dxa"/>
            <w:noWrap/>
            <w:vAlign w:val="bottom"/>
          </w:tcPr>
          <w:p w14:paraId="64EE2EF2" w14:textId="77777777" w:rsidR="00FE21FB" w:rsidRPr="009F7009" w:rsidRDefault="00FE21FB"/>
        </w:tc>
      </w:tr>
      <w:tr w:rsidR="00FE21FB" w:rsidRPr="009F7009" w14:paraId="147CA23B" w14:textId="77777777" w:rsidTr="009F7009">
        <w:trPr>
          <w:trHeight w:val="1032"/>
        </w:trPr>
        <w:tc>
          <w:tcPr>
            <w:tcW w:w="693" w:type="dxa"/>
            <w:tcBorders>
              <w:top w:val="single" w:sz="8" w:space="0" w:color="auto"/>
              <w:left w:val="single" w:sz="8" w:space="0" w:color="auto"/>
              <w:bottom w:val="single" w:sz="4" w:space="0" w:color="auto"/>
              <w:right w:val="nil"/>
            </w:tcBorders>
            <w:noWrap/>
            <w:vAlign w:val="bottom"/>
            <w:hideMark/>
          </w:tcPr>
          <w:p w14:paraId="3194AA46" w14:textId="77777777" w:rsidR="00FE21FB" w:rsidRPr="009F7009" w:rsidRDefault="00FE21FB">
            <w:pPr>
              <w:jc w:val="center"/>
            </w:pPr>
            <w:r w:rsidRPr="009F7009">
              <w:t>Eil. Nr.</w:t>
            </w:r>
          </w:p>
          <w:p w14:paraId="2F5517FF" w14:textId="77777777" w:rsidR="00FE21FB" w:rsidRPr="009F7009" w:rsidRDefault="00FE21FB">
            <w:pPr>
              <w:jc w:val="center"/>
            </w:pPr>
            <w:r w:rsidRPr="009F7009">
              <w:t> </w:t>
            </w:r>
          </w:p>
          <w:p w14:paraId="6E865FEF" w14:textId="77777777" w:rsidR="00FE21FB" w:rsidRPr="009F7009" w:rsidRDefault="00FE21FB">
            <w:pPr>
              <w:jc w:val="center"/>
            </w:pPr>
            <w:r w:rsidRPr="009F7009">
              <w:t> </w:t>
            </w:r>
          </w:p>
        </w:tc>
        <w:tc>
          <w:tcPr>
            <w:tcW w:w="3298" w:type="dxa"/>
            <w:tcBorders>
              <w:top w:val="single" w:sz="8" w:space="0" w:color="auto"/>
              <w:left w:val="single" w:sz="8" w:space="0" w:color="auto"/>
              <w:bottom w:val="single" w:sz="4" w:space="0" w:color="auto"/>
              <w:right w:val="single" w:sz="8" w:space="0" w:color="auto"/>
            </w:tcBorders>
            <w:noWrap/>
          </w:tcPr>
          <w:p w14:paraId="341B4CE9" w14:textId="77777777" w:rsidR="00FE21FB" w:rsidRPr="009F7009" w:rsidRDefault="00FE21FB">
            <w:pPr>
              <w:jc w:val="center"/>
            </w:pPr>
            <w:r w:rsidRPr="009F7009">
              <w:t>Objekto pavadinimas</w:t>
            </w:r>
          </w:p>
          <w:p w14:paraId="16624E81" w14:textId="77777777" w:rsidR="00FE21FB" w:rsidRPr="009F7009" w:rsidRDefault="00FE21FB">
            <w:pPr>
              <w:jc w:val="center"/>
            </w:pPr>
          </w:p>
          <w:p w14:paraId="546A65C2" w14:textId="77777777" w:rsidR="00FE21FB" w:rsidRPr="009F7009" w:rsidRDefault="00FE21FB">
            <w:pPr>
              <w:jc w:val="center"/>
            </w:pPr>
          </w:p>
        </w:tc>
        <w:tc>
          <w:tcPr>
            <w:tcW w:w="1702" w:type="dxa"/>
            <w:tcBorders>
              <w:top w:val="single" w:sz="8" w:space="0" w:color="auto"/>
              <w:left w:val="nil"/>
              <w:bottom w:val="single" w:sz="4" w:space="0" w:color="auto"/>
              <w:right w:val="single" w:sz="8" w:space="0" w:color="auto"/>
            </w:tcBorders>
            <w:noWrap/>
          </w:tcPr>
          <w:p w14:paraId="10CE947A" w14:textId="77777777" w:rsidR="00FE21FB" w:rsidRPr="009F7009" w:rsidRDefault="00FE21FB">
            <w:pPr>
              <w:jc w:val="center"/>
            </w:pPr>
            <w:r w:rsidRPr="009F7009">
              <w:t>Finansavimo</w:t>
            </w:r>
          </w:p>
          <w:p w14:paraId="6022CD5B" w14:textId="77777777" w:rsidR="00FE21FB" w:rsidRPr="009F7009" w:rsidRDefault="00FE21FB">
            <w:pPr>
              <w:jc w:val="center"/>
            </w:pPr>
            <w:r w:rsidRPr="009F7009">
              <w:t>šaltinis</w:t>
            </w:r>
          </w:p>
          <w:p w14:paraId="322D0F60" w14:textId="77777777" w:rsidR="00FE21FB" w:rsidRPr="009F7009" w:rsidRDefault="00FE21FB">
            <w:pPr>
              <w:jc w:val="center"/>
            </w:pPr>
          </w:p>
        </w:tc>
        <w:tc>
          <w:tcPr>
            <w:tcW w:w="1350" w:type="dxa"/>
            <w:tcBorders>
              <w:top w:val="single" w:sz="8" w:space="0" w:color="auto"/>
              <w:left w:val="nil"/>
              <w:bottom w:val="single" w:sz="4" w:space="0" w:color="auto"/>
              <w:right w:val="single" w:sz="8" w:space="0" w:color="auto"/>
            </w:tcBorders>
            <w:vAlign w:val="bottom"/>
            <w:hideMark/>
          </w:tcPr>
          <w:p w14:paraId="05B39E42" w14:textId="77777777" w:rsidR="00FE21FB" w:rsidRPr="009F7009" w:rsidRDefault="00FE21FB">
            <w:pPr>
              <w:jc w:val="center"/>
            </w:pPr>
            <w:r w:rsidRPr="009F7009">
              <w:t xml:space="preserve">Planuojama objekto </w:t>
            </w:r>
          </w:p>
          <w:p w14:paraId="56CB0F49" w14:textId="77777777" w:rsidR="00FE21FB" w:rsidRPr="009F7009" w:rsidRDefault="00FE21FB">
            <w:pPr>
              <w:jc w:val="center"/>
            </w:pPr>
            <w:r w:rsidRPr="009F7009">
              <w:t>vertė tūkst.</w:t>
            </w:r>
          </w:p>
          <w:p w14:paraId="47163E08" w14:textId="77777777" w:rsidR="00FE21FB" w:rsidRPr="009F7009" w:rsidRDefault="00FE21FB">
            <w:pPr>
              <w:jc w:val="center"/>
            </w:pPr>
            <w:proofErr w:type="spellStart"/>
            <w:r w:rsidRPr="009F7009">
              <w:t>Eur</w:t>
            </w:r>
            <w:proofErr w:type="spellEnd"/>
          </w:p>
        </w:tc>
        <w:tc>
          <w:tcPr>
            <w:tcW w:w="1134" w:type="dxa"/>
            <w:tcBorders>
              <w:top w:val="single" w:sz="8" w:space="0" w:color="auto"/>
              <w:left w:val="nil"/>
              <w:bottom w:val="single" w:sz="4" w:space="0" w:color="auto"/>
              <w:right w:val="single" w:sz="8" w:space="0" w:color="000000"/>
            </w:tcBorders>
            <w:noWrap/>
            <w:hideMark/>
          </w:tcPr>
          <w:p w14:paraId="3B56A2EE" w14:textId="77777777" w:rsidR="00FE21FB" w:rsidRPr="009F7009" w:rsidRDefault="00FE21FB">
            <w:pPr>
              <w:jc w:val="center"/>
            </w:pPr>
            <w:r w:rsidRPr="009F7009">
              <w:t xml:space="preserve">2016 m. faktas tūkst. </w:t>
            </w:r>
            <w:proofErr w:type="spellStart"/>
            <w:r w:rsidRPr="009F7009">
              <w:t>Eur</w:t>
            </w:r>
            <w:proofErr w:type="spellEnd"/>
          </w:p>
        </w:tc>
        <w:tc>
          <w:tcPr>
            <w:tcW w:w="1323" w:type="dxa"/>
            <w:tcBorders>
              <w:top w:val="single" w:sz="8" w:space="0" w:color="auto"/>
              <w:left w:val="nil"/>
              <w:bottom w:val="single" w:sz="4" w:space="0" w:color="auto"/>
              <w:right w:val="single" w:sz="8" w:space="0" w:color="000000"/>
            </w:tcBorders>
          </w:tcPr>
          <w:p w14:paraId="05B55F21" w14:textId="77777777" w:rsidR="00FE21FB" w:rsidRPr="009F7009" w:rsidRDefault="00FE21FB">
            <w:pPr>
              <w:jc w:val="center"/>
            </w:pPr>
            <w:r w:rsidRPr="009F7009">
              <w:t xml:space="preserve">Investicijos 2017 m. tūkst. </w:t>
            </w:r>
            <w:proofErr w:type="spellStart"/>
            <w:r w:rsidRPr="009F7009">
              <w:t>Eur</w:t>
            </w:r>
            <w:proofErr w:type="spellEnd"/>
          </w:p>
          <w:p w14:paraId="1A0F2039" w14:textId="77777777" w:rsidR="00FE21FB" w:rsidRPr="009F7009" w:rsidRDefault="00FE21FB">
            <w:pPr>
              <w:jc w:val="center"/>
            </w:pPr>
          </w:p>
        </w:tc>
        <w:tc>
          <w:tcPr>
            <w:tcW w:w="1323" w:type="dxa"/>
            <w:tcBorders>
              <w:top w:val="single" w:sz="8" w:space="0" w:color="auto"/>
              <w:left w:val="nil"/>
              <w:bottom w:val="single" w:sz="4" w:space="0" w:color="auto"/>
              <w:right w:val="single" w:sz="8" w:space="0" w:color="000000"/>
            </w:tcBorders>
          </w:tcPr>
          <w:p w14:paraId="5153FD21" w14:textId="77777777" w:rsidR="00FE21FB" w:rsidRPr="009F7009" w:rsidRDefault="00FE21FB">
            <w:pPr>
              <w:jc w:val="center"/>
            </w:pPr>
            <w:r w:rsidRPr="009F7009">
              <w:t xml:space="preserve">Investicijos 2018 m. tūkst. </w:t>
            </w:r>
            <w:proofErr w:type="spellStart"/>
            <w:r w:rsidRPr="009F7009">
              <w:t>Eur</w:t>
            </w:r>
            <w:proofErr w:type="spellEnd"/>
          </w:p>
          <w:p w14:paraId="1E22AD56" w14:textId="77777777" w:rsidR="00FE21FB" w:rsidRPr="009F7009" w:rsidRDefault="00FE21FB">
            <w:pPr>
              <w:jc w:val="center"/>
            </w:pPr>
          </w:p>
        </w:tc>
        <w:tc>
          <w:tcPr>
            <w:tcW w:w="1629" w:type="dxa"/>
            <w:tcBorders>
              <w:top w:val="single" w:sz="8" w:space="0" w:color="auto"/>
              <w:left w:val="nil"/>
              <w:bottom w:val="single" w:sz="4" w:space="0" w:color="auto"/>
              <w:right w:val="single" w:sz="8" w:space="0" w:color="auto"/>
            </w:tcBorders>
            <w:noWrap/>
            <w:hideMark/>
          </w:tcPr>
          <w:p w14:paraId="3360879F" w14:textId="77777777" w:rsidR="00FE21FB" w:rsidRPr="009F7009" w:rsidRDefault="00FE21FB">
            <w:pPr>
              <w:jc w:val="center"/>
            </w:pPr>
            <w:r w:rsidRPr="009F7009">
              <w:t>Trumpa</w:t>
            </w:r>
          </w:p>
          <w:p w14:paraId="193FAE43" w14:textId="77777777" w:rsidR="00FE21FB" w:rsidRPr="009F7009" w:rsidRDefault="00FE21FB">
            <w:pPr>
              <w:jc w:val="center"/>
            </w:pPr>
            <w:r w:rsidRPr="009F7009">
              <w:t>objekto</w:t>
            </w:r>
          </w:p>
          <w:p w14:paraId="3B0D0F77" w14:textId="77777777" w:rsidR="00FE21FB" w:rsidRPr="009F7009" w:rsidRDefault="00FE21FB">
            <w:pPr>
              <w:jc w:val="center"/>
            </w:pPr>
            <w:r w:rsidRPr="009F7009">
              <w:t>charakteristika</w:t>
            </w:r>
          </w:p>
        </w:tc>
        <w:tc>
          <w:tcPr>
            <w:tcW w:w="2835" w:type="dxa"/>
            <w:tcBorders>
              <w:top w:val="single" w:sz="8" w:space="0" w:color="auto"/>
              <w:left w:val="nil"/>
              <w:bottom w:val="single" w:sz="4" w:space="0" w:color="auto"/>
              <w:right w:val="single" w:sz="8" w:space="0" w:color="auto"/>
            </w:tcBorders>
            <w:noWrap/>
          </w:tcPr>
          <w:p w14:paraId="7F171ADF" w14:textId="77777777" w:rsidR="00FE21FB" w:rsidRPr="009F7009" w:rsidRDefault="00FE21FB">
            <w:pPr>
              <w:jc w:val="center"/>
            </w:pPr>
            <w:r w:rsidRPr="009F7009">
              <w:t>Pastabos</w:t>
            </w:r>
          </w:p>
          <w:p w14:paraId="346EEAA1" w14:textId="77777777" w:rsidR="00FE21FB" w:rsidRPr="009F7009" w:rsidRDefault="00FE21FB">
            <w:pPr>
              <w:jc w:val="center"/>
            </w:pPr>
          </w:p>
          <w:p w14:paraId="1E2BE1A8" w14:textId="77777777" w:rsidR="00FE21FB" w:rsidRPr="009F7009" w:rsidRDefault="00FE21FB">
            <w:pPr>
              <w:jc w:val="center"/>
            </w:pPr>
          </w:p>
        </w:tc>
      </w:tr>
      <w:tr w:rsidR="00FE21FB" w:rsidRPr="009F7009" w14:paraId="2615329F" w14:textId="77777777" w:rsidTr="009F7009">
        <w:trPr>
          <w:trHeight w:val="114"/>
        </w:trPr>
        <w:tc>
          <w:tcPr>
            <w:tcW w:w="69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C686DC1" w14:textId="77777777" w:rsidR="00FE21FB" w:rsidRPr="009F7009" w:rsidRDefault="00FE21FB">
            <w:pPr>
              <w:jc w:val="center"/>
              <w:rPr>
                <w:b/>
                <w:bCs/>
              </w:rPr>
            </w:pPr>
            <w:r w:rsidRPr="009F7009">
              <w:rPr>
                <w:b/>
                <w:bCs/>
              </w:rPr>
              <w:t>3.</w:t>
            </w:r>
          </w:p>
        </w:tc>
        <w:tc>
          <w:tcPr>
            <w:tcW w:w="329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D47410F" w14:textId="77777777" w:rsidR="00FE21FB" w:rsidRPr="009F7009" w:rsidRDefault="00FE21FB">
            <w:pPr>
              <w:rPr>
                <w:b/>
                <w:bCs/>
              </w:rPr>
            </w:pPr>
            <w:r w:rsidRPr="009F7009">
              <w:rPr>
                <w:b/>
                <w:bCs/>
              </w:rPr>
              <w:t>Bendrųjų poreikių investicijos</w:t>
            </w:r>
          </w:p>
        </w:tc>
        <w:tc>
          <w:tcPr>
            <w:tcW w:w="1702"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1979BEA" w14:textId="77777777" w:rsidR="00FE21FB" w:rsidRPr="009F7009" w:rsidRDefault="00FE21FB">
            <w:pPr>
              <w:jc w:val="right"/>
              <w:rPr>
                <w:b/>
                <w:bCs/>
              </w:rPr>
            </w:pPr>
            <w:r w:rsidRPr="009F7009">
              <w:rPr>
                <w:b/>
                <w:bCs/>
              </w:rPr>
              <w:t> </w:t>
            </w:r>
          </w:p>
        </w:tc>
        <w:tc>
          <w:tcPr>
            <w:tcW w:w="135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0453414" w14:textId="77777777" w:rsidR="00FE21FB" w:rsidRPr="009F7009" w:rsidRDefault="00FE21FB">
            <w:pPr>
              <w:jc w:val="right"/>
              <w:rPr>
                <w:b/>
                <w:bCs/>
              </w:rPr>
            </w:pPr>
            <w:r w:rsidRPr="009F7009">
              <w:rPr>
                <w:b/>
                <w:bCs/>
              </w:rPr>
              <w:t> </w:t>
            </w:r>
          </w:p>
        </w:tc>
        <w:tc>
          <w:tcPr>
            <w:tcW w:w="1134"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9EBB576" w14:textId="77777777" w:rsidR="00FE21FB" w:rsidRPr="009F7009" w:rsidRDefault="00FE21FB">
            <w:pPr>
              <w:rPr>
                <w:b/>
                <w:bCs/>
              </w:rPr>
            </w:pPr>
            <w:r w:rsidRPr="009F7009">
              <w:rPr>
                <w:b/>
                <w:bCs/>
              </w:rPr>
              <w:t> </w:t>
            </w:r>
          </w:p>
        </w:tc>
        <w:tc>
          <w:tcPr>
            <w:tcW w:w="132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229D53AC" w14:textId="77777777" w:rsidR="00FE21FB" w:rsidRPr="009F7009" w:rsidRDefault="00FE21FB">
            <w:pPr>
              <w:rPr>
                <w:b/>
                <w:bCs/>
              </w:rPr>
            </w:pPr>
            <w:r w:rsidRPr="009F7009">
              <w:rPr>
                <w:b/>
                <w:bCs/>
              </w:rPr>
              <w:t> </w:t>
            </w:r>
          </w:p>
        </w:tc>
        <w:tc>
          <w:tcPr>
            <w:tcW w:w="132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89FC53B" w14:textId="77777777" w:rsidR="00FE21FB" w:rsidRPr="009F7009" w:rsidRDefault="00FE21FB">
            <w:pPr>
              <w:rPr>
                <w:b/>
                <w:bCs/>
              </w:rPr>
            </w:pPr>
            <w:r w:rsidRPr="009F7009">
              <w:rPr>
                <w:b/>
                <w:bCs/>
              </w:rPr>
              <w:t> </w:t>
            </w:r>
          </w:p>
        </w:tc>
        <w:tc>
          <w:tcPr>
            <w:tcW w:w="162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45E1071" w14:textId="77777777" w:rsidR="00FE21FB" w:rsidRPr="009F7009" w:rsidRDefault="00FE21FB">
            <w:pPr>
              <w:jc w:val="right"/>
              <w:rPr>
                <w:b/>
                <w:bCs/>
              </w:rPr>
            </w:pPr>
            <w:r w:rsidRPr="009F7009">
              <w:rPr>
                <w:b/>
                <w:bCs/>
              </w:rPr>
              <w:t> </w:t>
            </w:r>
          </w:p>
        </w:tc>
        <w:tc>
          <w:tcPr>
            <w:tcW w:w="2835"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7A9BF1A" w14:textId="77777777" w:rsidR="00FE21FB" w:rsidRPr="009F7009" w:rsidRDefault="00FE21FB">
            <w:r w:rsidRPr="009F7009">
              <w:t> </w:t>
            </w:r>
          </w:p>
        </w:tc>
      </w:tr>
      <w:tr w:rsidR="00FE21FB" w:rsidRPr="009F7009" w14:paraId="76EB711D" w14:textId="77777777" w:rsidTr="009F7009">
        <w:trPr>
          <w:trHeight w:val="560"/>
        </w:trPr>
        <w:tc>
          <w:tcPr>
            <w:tcW w:w="693" w:type="dxa"/>
            <w:tcBorders>
              <w:top w:val="single" w:sz="4" w:space="0" w:color="auto"/>
              <w:left w:val="single" w:sz="8" w:space="0" w:color="auto"/>
              <w:bottom w:val="nil"/>
              <w:right w:val="nil"/>
            </w:tcBorders>
            <w:noWrap/>
            <w:hideMark/>
          </w:tcPr>
          <w:p w14:paraId="1643C000" w14:textId="77777777" w:rsidR="00FE21FB" w:rsidRPr="009F7009" w:rsidRDefault="00FE21FB">
            <w:pPr>
              <w:jc w:val="center"/>
            </w:pPr>
            <w:r w:rsidRPr="009F7009">
              <w:t>3.5.</w:t>
            </w:r>
          </w:p>
        </w:tc>
        <w:tc>
          <w:tcPr>
            <w:tcW w:w="3298" w:type="dxa"/>
            <w:tcBorders>
              <w:top w:val="single" w:sz="4" w:space="0" w:color="auto"/>
              <w:left w:val="single" w:sz="4" w:space="0" w:color="auto"/>
              <w:bottom w:val="nil"/>
              <w:right w:val="single" w:sz="4" w:space="0" w:color="auto"/>
            </w:tcBorders>
            <w:hideMark/>
          </w:tcPr>
          <w:p w14:paraId="4029895B" w14:textId="77777777" w:rsidR="00FE21FB" w:rsidRPr="009F7009" w:rsidRDefault="00FE21FB">
            <w:r w:rsidRPr="009F7009">
              <w:t>Atsiskaitomieji apskaitos prietaisai</w:t>
            </w:r>
          </w:p>
        </w:tc>
        <w:tc>
          <w:tcPr>
            <w:tcW w:w="1702" w:type="dxa"/>
            <w:tcBorders>
              <w:top w:val="single" w:sz="4" w:space="0" w:color="auto"/>
              <w:left w:val="nil"/>
              <w:bottom w:val="single" w:sz="4" w:space="0" w:color="auto"/>
              <w:right w:val="single" w:sz="4" w:space="0" w:color="auto"/>
            </w:tcBorders>
            <w:hideMark/>
          </w:tcPr>
          <w:p w14:paraId="14873B3B" w14:textId="77777777" w:rsidR="00FE21FB" w:rsidRPr="009F7009" w:rsidRDefault="00FE21FB">
            <w:r w:rsidRPr="009F7009">
              <w:t>Bendrovės lėšos</w:t>
            </w:r>
          </w:p>
        </w:tc>
        <w:tc>
          <w:tcPr>
            <w:tcW w:w="1350" w:type="dxa"/>
            <w:tcBorders>
              <w:top w:val="single" w:sz="4" w:space="0" w:color="auto"/>
              <w:left w:val="nil"/>
              <w:bottom w:val="nil"/>
              <w:right w:val="single" w:sz="4" w:space="0" w:color="auto"/>
            </w:tcBorders>
            <w:hideMark/>
          </w:tcPr>
          <w:p w14:paraId="22F811BD" w14:textId="77777777" w:rsidR="00FE21FB" w:rsidRPr="009F7009" w:rsidRDefault="00FE21FB">
            <w:pPr>
              <w:jc w:val="center"/>
            </w:pPr>
            <w:r w:rsidRPr="009F7009">
              <w:t>20</w:t>
            </w:r>
          </w:p>
        </w:tc>
        <w:tc>
          <w:tcPr>
            <w:tcW w:w="1134" w:type="dxa"/>
            <w:tcBorders>
              <w:top w:val="single" w:sz="4" w:space="0" w:color="auto"/>
              <w:left w:val="nil"/>
              <w:bottom w:val="nil"/>
              <w:right w:val="single" w:sz="4" w:space="0" w:color="auto"/>
            </w:tcBorders>
            <w:hideMark/>
          </w:tcPr>
          <w:p w14:paraId="21CD4831" w14:textId="77777777" w:rsidR="00FE21FB" w:rsidRPr="009F7009" w:rsidRDefault="00FE21FB">
            <w:pPr>
              <w:jc w:val="center"/>
            </w:pPr>
            <w:r w:rsidRPr="009F7009">
              <w:t>10</w:t>
            </w:r>
          </w:p>
        </w:tc>
        <w:tc>
          <w:tcPr>
            <w:tcW w:w="1323" w:type="dxa"/>
            <w:tcBorders>
              <w:top w:val="single" w:sz="4" w:space="0" w:color="auto"/>
              <w:left w:val="nil"/>
              <w:bottom w:val="nil"/>
              <w:right w:val="single" w:sz="4" w:space="0" w:color="auto"/>
            </w:tcBorders>
            <w:hideMark/>
          </w:tcPr>
          <w:p w14:paraId="5B57530B" w14:textId="77777777" w:rsidR="00FE21FB" w:rsidRPr="009F7009" w:rsidRDefault="00FE21FB">
            <w:pPr>
              <w:jc w:val="center"/>
            </w:pPr>
            <w:r w:rsidRPr="009F7009">
              <w:t>6</w:t>
            </w:r>
          </w:p>
        </w:tc>
        <w:tc>
          <w:tcPr>
            <w:tcW w:w="1323" w:type="dxa"/>
            <w:tcBorders>
              <w:top w:val="single" w:sz="4" w:space="0" w:color="auto"/>
              <w:left w:val="nil"/>
              <w:bottom w:val="nil"/>
              <w:right w:val="nil"/>
            </w:tcBorders>
            <w:hideMark/>
          </w:tcPr>
          <w:p w14:paraId="4019C5A2" w14:textId="77777777" w:rsidR="00FE21FB" w:rsidRPr="009F7009" w:rsidRDefault="00FE21FB">
            <w:pPr>
              <w:jc w:val="center"/>
            </w:pPr>
            <w:r w:rsidRPr="009F7009">
              <w:t>4</w:t>
            </w:r>
          </w:p>
        </w:tc>
        <w:tc>
          <w:tcPr>
            <w:tcW w:w="1629" w:type="dxa"/>
            <w:tcBorders>
              <w:top w:val="single" w:sz="4" w:space="0" w:color="auto"/>
              <w:left w:val="single" w:sz="4" w:space="0" w:color="auto"/>
              <w:bottom w:val="nil"/>
              <w:right w:val="nil"/>
            </w:tcBorders>
          </w:tcPr>
          <w:p w14:paraId="37BF9C43" w14:textId="77777777" w:rsidR="00FE21FB" w:rsidRPr="009F7009" w:rsidRDefault="00FE21FB"/>
        </w:tc>
        <w:tc>
          <w:tcPr>
            <w:tcW w:w="2835" w:type="dxa"/>
            <w:tcBorders>
              <w:top w:val="single" w:sz="4" w:space="0" w:color="auto"/>
              <w:left w:val="single" w:sz="4" w:space="0" w:color="auto"/>
              <w:bottom w:val="single" w:sz="4" w:space="0" w:color="auto"/>
              <w:right w:val="single" w:sz="8" w:space="0" w:color="auto"/>
            </w:tcBorders>
            <w:hideMark/>
          </w:tcPr>
          <w:p w14:paraId="4CDA89F6" w14:textId="77777777" w:rsidR="00FE21FB" w:rsidRPr="009F7009" w:rsidRDefault="00FE21FB">
            <w:r w:rsidRPr="009F7009">
              <w:t xml:space="preserve">Patikslinta investicija derinama (2017 m. investicija padidėjo 2 tūkst. </w:t>
            </w:r>
            <w:proofErr w:type="spellStart"/>
            <w:r w:rsidRPr="009F7009">
              <w:t>Eur</w:t>
            </w:r>
            <w:proofErr w:type="spellEnd"/>
            <w:r w:rsidRPr="009F7009">
              <w:t>)</w:t>
            </w:r>
          </w:p>
        </w:tc>
      </w:tr>
      <w:tr w:rsidR="00FE21FB" w:rsidRPr="009F7009" w14:paraId="2CDCBEF2" w14:textId="77777777" w:rsidTr="009F7009">
        <w:trPr>
          <w:trHeight w:val="232"/>
        </w:trPr>
        <w:tc>
          <w:tcPr>
            <w:tcW w:w="693" w:type="dxa"/>
            <w:tcBorders>
              <w:top w:val="single" w:sz="4" w:space="0" w:color="auto"/>
              <w:left w:val="single" w:sz="8" w:space="0" w:color="auto"/>
              <w:bottom w:val="nil"/>
              <w:right w:val="nil"/>
            </w:tcBorders>
            <w:noWrap/>
            <w:hideMark/>
          </w:tcPr>
          <w:p w14:paraId="415F6211" w14:textId="77777777" w:rsidR="00FE21FB" w:rsidRPr="009F7009" w:rsidRDefault="00FE21FB">
            <w:pPr>
              <w:jc w:val="center"/>
            </w:pPr>
            <w:r w:rsidRPr="009F7009">
              <w:t>3.8.</w:t>
            </w:r>
          </w:p>
        </w:tc>
        <w:tc>
          <w:tcPr>
            <w:tcW w:w="3298" w:type="dxa"/>
            <w:tcBorders>
              <w:top w:val="single" w:sz="4" w:space="0" w:color="auto"/>
              <w:left w:val="single" w:sz="4" w:space="0" w:color="auto"/>
              <w:bottom w:val="nil"/>
              <w:right w:val="single" w:sz="4" w:space="0" w:color="auto"/>
            </w:tcBorders>
            <w:hideMark/>
          </w:tcPr>
          <w:p w14:paraId="0341FBD3" w14:textId="77777777" w:rsidR="00FE21FB" w:rsidRPr="009F7009" w:rsidRDefault="00FE21FB">
            <w:r w:rsidRPr="009F7009">
              <w:t>Duomenų nuotolinio nuskaitymo įranga atsiskaitomiesiems apskaitos prietaisams</w:t>
            </w:r>
          </w:p>
        </w:tc>
        <w:tc>
          <w:tcPr>
            <w:tcW w:w="1702" w:type="dxa"/>
            <w:tcBorders>
              <w:top w:val="nil"/>
              <w:left w:val="nil"/>
              <w:bottom w:val="single" w:sz="4" w:space="0" w:color="auto"/>
              <w:right w:val="single" w:sz="4" w:space="0" w:color="auto"/>
            </w:tcBorders>
            <w:hideMark/>
          </w:tcPr>
          <w:p w14:paraId="1566725F" w14:textId="77777777" w:rsidR="00FE21FB" w:rsidRPr="009F7009" w:rsidRDefault="00FE21FB">
            <w:r w:rsidRPr="009F7009">
              <w:t>Bendrovės lėšos</w:t>
            </w:r>
          </w:p>
        </w:tc>
        <w:tc>
          <w:tcPr>
            <w:tcW w:w="1350" w:type="dxa"/>
            <w:tcBorders>
              <w:top w:val="single" w:sz="4" w:space="0" w:color="auto"/>
              <w:left w:val="nil"/>
              <w:bottom w:val="nil"/>
              <w:right w:val="single" w:sz="4" w:space="0" w:color="auto"/>
            </w:tcBorders>
            <w:hideMark/>
          </w:tcPr>
          <w:p w14:paraId="163E5A24" w14:textId="77777777" w:rsidR="00FE21FB" w:rsidRPr="009F7009" w:rsidRDefault="00FE21FB">
            <w:pPr>
              <w:jc w:val="center"/>
            </w:pPr>
            <w:r w:rsidRPr="009F7009">
              <w:t>4</w:t>
            </w:r>
          </w:p>
        </w:tc>
        <w:tc>
          <w:tcPr>
            <w:tcW w:w="1134" w:type="dxa"/>
            <w:tcBorders>
              <w:top w:val="single" w:sz="4" w:space="0" w:color="auto"/>
              <w:left w:val="nil"/>
              <w:bottom w:val="nil"/>
              <w:right w:val="single" w:sz="4" w:space="0" w:color="auto"/>
            </w:tcBorders>
            <w:hideMark/>
          </w:tcPr>
          <w:p w14:paraId="7114E753" w14:textId="77777777" w:rsidR="00FE21FB" w:rsidRPr="009F7009" w:rsidRDefault="00FE21FB">
            <w:pPr>
              <w:jc w:val="center"/>
            </w:pPr>
            <w:r w:rsidRPr="009F7009">
              <w:t>0</w:t>
            </w:r>
          </w:p>
        </w:tc>
        <w:tc>
          <w:tcPr>
            <w:tcW w:w="1323" w:type="dxa"/>
            <w:tcBorders>
              <w:top w:val="single" w:sz="4" w:space="0" w:color="auto"/>
              <w:left w:val="nil"/>
              <w:bottom w:val="nil"/>
              <w:right w:val="single" w:sz="4" w:space="0" w:color="auto"/>
            </w:tcBorders>
            <w:hideMark/>
          </w:tcPr>
          <w:p w14:paraId="49FB4999" w14:textId="77777777" w:rsidR="00FE21FB" w:rsidRPr="009F7009" w:rsidRDefault="00FE21FB">
            <w:pPr>
              <w:jc w:val="center"/>
            </w:pPr>
            <w:r w:rsidRPr="009F7009">
              <w:t>4</w:t>
            </w:r>
          </w:p>
        </w:tc>
        <w:tc>
          <w:tcPr>
            <w:tcW w:w="1323" w:type="dxa"/>
            <w:tcBorders>
              <w:top w:val="single" w:sz="4" w:space="0" w:color="auto"/>
              <w:left w:val="nil"/>
              <w:bottom w:val="nil"/>
              <w:right w:val="nil"/>
            </w:tcBorders>
            <w:hideMark/>
          </w:tcPr>
          <w:p w14:paraId="48434288" w14:textId="77777777" w:rsidR="00FE21FB" w:rsidRPr="009F7009" w:rsidRDefault="00FE21FB">
            <w:pPr>
              <w:jc w:val="center"/>
            </w:pPr>
            <w:r w:rsidRPr="009F7009">
              <w:t>0</w:t>
            </w:r>
          </w:p>
        </w:tc>
        <w:tc>
          <w:tcPr>
            <w:tcW w:w="1629" w:type="dxa"/>
            <w:tcBorders>
              <w:top w:val="single" w:sz="4" w:space="0" w:color="auto"/>
              <w:left w:val="single" w:sz="4" w:space="0" w:color="auto"/>
              <w:bottom w:val="nil"/>
              <w:right w:val="nil"/>
            </w:tcBorders>
            <w:hideMark/>
          </w:tcPr>
          <w:p w14:paraId="575C2DFA" w14:textId="77777777" w:rsidR="00FE21FB" w:rsidRPr="009F7009" w:rsidRDefault="00FE21FB">
            <w:r w:rsidRPr="009F7009">
              <w:t>10 vnt.</w:t>
            </w:r>
          </w:p>
        </w:tc>
        <w:tc>
          <w:tcPr>
            <w:tcW w:w="2835" w:type="dxa"/>
            <w:tcBorders>
              <w:top w:val="nil"/>
              <w:left w:val="single" w:sz="4" w:space="0" w:color="auto"/>
              <w:bottom w:val="single" w:sz="4" w:space="0" w:color="auto"/>
              <w:right w:val="single" w:sz="8" w:space="0" w:color="auto"/>
            </w:tcBorders>
            <w:noWrap/>
            <w:hideMark/>
          </w:tcPr>
          <w:p w14:paraId="065CB01B" w14:textId="77777777" w:rsidR="00FE21FB" w:rsidRPr="009F7009" w:rsidRDefault="00FE21FB">
            <w:r w:rsidRPr="009F7009">
              <w:t>Nauja investicija derinama</w:t>
            </w:r>
          </w:p>
        </w:tc>
      </w:tr>
      <w:tr w:rsidR="00FE21FB" w:rsidRPr="009F7009" w14:paraId="00CD2511" w14:textId="77777777" w:rsidTr="009F7009">
        <w:trPr>
          <w:trHeight w:val="232"/>
        </w:trPr>
        <w:tc>
          <w:tcPr>
            <w:tcW w:w="693" w:type="dxa"/>
            <w:tcBorders>
              <w:top w:val="single" w:sz="4" w:space="0" w:color="auto"/>
              <w:left w:val="single" w:sz="8" w:space="0" w:color="auto"/>
              <w:bottom w:val="single" w:sz="8" w:space="0" w:color="auto"/>
              <w:right w:val="nil"/>
            </w:tcBorders>
            <w:noWrap/>
            <w:hideMark/>
          </w:tcPr>
          <w:p w14:paraId="2B961A2A" w14:textId="77777777" w:rsidR="00FE21FB" w:rsidRPr="009F7009" w:rsidRDefault="00FE21FB">
            <w:pPr>
              <w:jc w:val="center"/>
            </w:pPr>
            <w:r w:rsidRPr="009F7009">
              <w:t>3.9.</w:t>
            </w:r>
          </w:p>
        </w:tc>
        <w:tc>
          <w:tcPr>
            <w:tcW w:w="3298" w:type="dxa"/>
            <w:tcBorders>
              <w:top w:val="single" w:sz="4" w:space="0" w:color="auto"/>
              <w:left w:val="single" w:sz="4" w:space="0" w:color="auto"/>
              <w:bottom w:val="single" w:sz="8" w:space="0" w:color="auto"/>
              <w:right w:val="single" w:sz="4" w:space="0" w:color="auto"/>
            </w:tcBorders>
            <w:hideMark/>
          </w:tcPr>
          <w:p w14:paraId="38768557" w14:textId="5C5703A4" w:rsidR="00FE21FB" w:rsidRPr="009F7009" w:rsidRDefault="00FE21FB" w:rsidP="00A47BE9">
            <w:r w:rsidRPr="009F7009">
              <w:t>Duomenų nuotolinio nuskaitymo įranga slėgio kontrolės sistem</w:t>
            </w:r>
            <w:r w:rsidR="00A47BE9">
              <w:t>ai įrengti</w:t>
            </w:r>
          </w:p>
        </w:tc>
        <w:tc>
          <w:tcPr>
            <w:tcW w:w="1702" w:type="dxa"/>
            <w:tcBorders>
              <w:top w:val="nil"/>
              <w:left w:val="nil"/>
              <w:bottom w:val="single" w:sz="8" w:space="0" w:color="auto"/>
              <w:right w:val="single" w:sz="4" w:space="0" w:color="auto"/>
            </w:tcBorders>
            <w:hideMark/>
          </w:tcPr>
          <w:p w14:paraId="35E62A68" w14:textId="77777777" w:rsidR="00FE21FB" w:rsidRPr="009F7009" w:rsidRDefault="00FE21FB">
            <w:r w:rsidRPr="009F7009">
              <w:t>Bendrovės lėšos</w:t>
            </w:r>
          </w:p>
        </w:tc>
        <w:tc>
          <w:tcPr>
            <w:tcW w:w="1350" w:type="dxa"/>
            <w:tcBorders>
              <w:top w:val="single" w:sz="4" w:space="0" w:color="auto"/>
              <w:left w:val="nil"/>
              <w:bottom w:val="single" w:sz="8" w:space="0" w:color="auto"/>
              <w:right w:val="single" w:sz="4" w:space="0" w:color="auto"/>
            </w:tcBorders>
            <w:hideMark/>
          </w:tcPr>
          <w:p w14:paraId="59F59C6A" w14:textId="77777777" w:rsidR="00FE21FB" w:rsidRPr="009F7009" w:rsidRDefault="00FE21FB">
            <w:pPr>
              <w:jc w:val="center"/>
            </w:pPr>
            <w:r w:rsidRPr="009F7009">
              <w:t>2</w:t>
            </w:r>
          </w:p>
        </w:tc>
        <w:tc>
          <w:tcPr>
            <w:tcW w:w="1134" w:type="dxa"/>
            <w:tcBorders>
              <w:top w:val="single" w:sz="4" w:space="0" w:color="auto"/>
              <w:left w:val="nil"/>
              <w:bottom w:val="single" w:sz="8" w:space="0" w:color="auto"/>
              <w:right w:val="single" w:sz="4" w:space="0" w:color="auto"/>
            </w:tcBorders>
            <w:hideMark/>
          </w:tcPr>
          <w:p w14:paraId="3E7E7708" w14:textId="77777777" w:rsidR="00FE21FB" w:rsidRPr="009F7009" w:rsidRDefault="00FE21FB">
            <w:pPr>
              <w:jc w:val="center"/>
            </w:pPr>
            <w:r w:rsidRPr="009F7009">
              <w:t>0</w:t>
            </w:r>
          </w:p>
        </w:tc>
        <w:tc>
          <w:tcPr>
            <w:tcW w:w="1323" w:type="dxa"/>
            <w:tcBorders>
              <w:top w:val="single" w:sz="4" w:space="0" w:color="auto"/>
              <w:left w:val="nil"/>
              <w:bottom w:val="single" w:sz="8" w:space="0" w:color="auto"/>
              <w:right w:val="single" w:sz="4" w:space="0" w:color="auto"/>
            </w:tcBorders>
            <w:hideMark/>
          </w:tcPr>
          <w:p w14:paraId="14A956A9" w14:textId="77777777" w:rsidR="00FE21FB" w:rsidRPr="009F7009" w:rsidRDefault="00FE21FB">
            <w:pPr>
              <w:jc w:val="center"/>
            </w:pPr>
            <w:r w:rsidRPr="009F7009">
              <w:t>0</w:t>
            </w:r>
          </w:p>
        </w:tc>
        <w:tc>
          <w:tcPr>
            <w:tcW w:w="1323" w:type="dxa"/>
            <w:tcBorders>
              <w:top w:val="single" w:sz="4" w:space="0" w:color="auto"/>
              <w:left w:val="nil"/>
              <w:bottom w:val="single" w:sz="8" w:space="0" w:color="auto"/>
              <w:right w:val="nil"/>
            </w:tcBorders>
            <w:hideMark/>
          </w:tcPr>
          <w:p w14:paraId="3F6E4253" w14:textId="77777777" w:rsidR="00FE21FB" w:rsidRPr="009F7009" w:rsidRDefault="00FE21FB">
            <w:pPr>
              <w:jc w:val="center"/>
            </w:pPr>
            <w:r w:rsidRPr="009F7009">
              <w:t>2</w:t>
            </w:r>
          </w:p>
        </w:tc>
        <w:tc>
          <w:tcPr>
            <w:tcW w:w="1629" w:type="dxa"/>
            <w:tcBorders>
              <w:top w:val="single" w:sz="4" w:space="0" w:color="auto"/>
              <w:left w:val="single" w:sz="4" w:space="0" w:color="auto"/>
              <w:bottom w:val="single" w:sz="8" w:space="0" w:color="auto"/>
              <w:right w:val="nil"/>
            </w:tcBorders>
            <w:hideMark/>
          </w:tcPr>
          <w:p w14:paraId="03F33516" w14:textId="17420E04" w:rsidR="00FE21FB" w:rsidRPr="009F7009" w:rsidRDefault="000F5671">
            <w:r>
              <w:t>6</w:t>
            </w:r>
            <w:r w:rsidR="00FE21FB" w:rsidRPr="009F7009">
              <w:t xml:space="preserve"> vnt.</w:t>
            </w:r>
          </w:p>
        </w:tc>
        <w:tc>
          <w:tcPr>
            <w:tcW w:w="2835" w:type="dxa"/>
            <w:tcBorders>
              <w:top w:val="nil"/>
              <w:left w:val="single" w:sz="4" w:space="0" w:color="auto"/>
              <w:bottom w:val="single" w:sz="8" w:space="0" w:color="auto"/>
              <w:right w:val="single" w:sz="8" w:space="0" w:color="auto"/>
            </w:tcBorders>
            <w:noWrap/>
            <w:hideMark/>
          </w:tcPr>
          <w:p w14:paraId="244832AF" w14:textId="77777777" w:rsidR="00FE21FB" w:rsidRPr="009F7009" w:rsidRDefault="00FE21FB">
            <w:r w:rsidRPr="009F7009">
              <w:t>Nauja investicija derinama</w:t>
            </w:r>
          </w:p>
        </w:tc>
      </w:tr>
      <w:tr w:rsidR="00FE21FB" w:rsidRPr="009F7009" w14:paraId="5A87C3C1" w14:textId="77777777" w:rsidTr="009F7009">
        <w:trPr>
          <w:trHeight w:val="117"/>
        </w:trPr>
        <w:tc>
          <w:tcPr>
            <w:tcW w:w="693" w:type="dxa"/>
            <w:tcBorders>
              <w:top w:val="nil"/>
              <w:left w:val="single" w:sz="8" w:space="0" w:color="auto"/>
              <w:bottom w:val="single" w:sz="8" w:space="0" w:color="auto"/>
              <w:right w:val="single" w:sz="4" w:space="0" w:color="auto"/>
            </w:tcBorders>
            <w:shd w:val="clear" w:color="auto" w:fill="DBDBDB"/>
            <w:noWrap/>
            <w:hideMark/>
          </w:tcPr>
          <w:p w14:paraId="5913A736" w14:textId="77777777" w:rsidR="00FE21FB" w:rsidRPr="009F7009" w:rsidRDefault="00FE21FB">
            <w:pPr>
              <w:jc w:val="center"/>
            </w:pPr>
            <w:r w:rsidRPr="009F7009">
              <w:t> </w:t>
            </w:r>
          </w:p>
        </w:tc>
        <w:tc>
          <w:tcPr>
            <w:tcW w:w="3298" w:type="dxa"/>
            <w:tcBorders>
              <w:top w:val="nil"/>
              <w:left w:val="nil"/>
              <w:bottom w:val="single" w:sz="8" w:space="0" w:color="auto"/>
              <w:right w:val="single" w:sz="4" w:space="0" w:color="auto"/>
            </w:tcBorders>
            <w:shd w:val="clear" w:color="auto" w:fill="DBDBDB"/>
            <w:hideMark/>
          </w:tcPr>
          <w:p w14:paraId="620298A2" w14:textId="5BCEA571" w:rsidR="00FE21FB" w:rsidRPr="009F7009" w:rsidRDefault="00A47BE9" w:rsidP="00A47BE9">
            <w:pPr>
              <w:rPr>
                <w:b/>
                <w:bCs/>
                <w:iCs/>
              </w:rPr>
            </w:pPr>
            <w:r>
              <w:rPr>
                <w:b/>
                <w:bCs/>
                <w:iCs/>
              </w:rPr>
              <w:t>Iš v</w:t>
            </w:r>
            <w:r w:rsidR="00FE21FB" w:rsidRPr="009F7009">
              <w:rPr>
                <w:b/>
                <w:bCs/>
                <w:iCs/>
              </w:rPr>
              <w:t>iso tikslinamos</w:t>
            </w:r>
            <w:r>
              <w:rPr>
                <w:b/>
                <w:bCs/>
                <w:iCs/>
              </w:rPr>
              <w:t xml:space="preserve"> </w:t>
            </w:r>
            <w:r w:rsidR="00FE21FB" w:rsidRPr="009F7009">
              <w:rPr>
                <w:b/>
                <w:bCs/>
                <w:iCs/>
              </w:rPr>
              <w:t>/</w:t>
            </w:r>
            <w:r>
              <w:rPr>
                <w:b/>
                <w:bCs/>
                <w:iCs/>
              </w:rPr>
              <w:t xml:space="preserve"> </w:t>
            </w:r>
            <w:r w:rsidR="00FE21FB" w:rsidRPr="009F7009">
              <w:rPr>
                <w:b/>
                <w:bCs/>
                <w:iCs/>
              </w:rPr>
              <w:t>naujos bendrųjų poreikių investicijos</w:t>
            </w:r>
          </w:p>
        </w:tc>
        <w:tc>
          <w:tcPr>
            <w:tcW w:w="1702" w:type="dxa"/>
            <w:tcBorders>
              <w:top w:val="nil"/>
              <w:left w:val="nil"/>
              <w:bottom w:val="single" w:sz="8" w:space="0" w:color="auto"/>
              <w:right w:val="single" w:sz="4" w:space="0" w:color="auto"/>
            </w:tcBorders>
            <w:shd w:val="clear" w:color="auto" w:fill="DBDBDB"/>
            <w:hideMark/>
          </w:tcPr>
          <w:p w14:paraId="18A6783D" w14:textId="77777777" w:rsidR="00FE21FB" w:rsidRPr="009F7009" w:rsidRDefault="00FE21FB">
            <w:pPr>
              <w:rPr>
                <w:i/>
                <w:iCs/>
              </w:rPr>
            </w:pPr>
            <w:r w:rsidRPr="009F7009">
              <w:rPr>
                <w:i/>
                <w:iCs/>
              </w:rPr>
              <w:t> </w:t>
            </w:r>
          </w:p>
        </w:tc>
        <w:tc>
          <w:tcPr>
            <w:tcW w:w="1350" w:type="dxa"/>
            <w:tcBorders>
              <w:top w:val="nil"/>
              <w:left w:val="nil"/>
              <w:bottom w:val="single" w:sz="8" w:space="0" w:color="auto"/>
              <w:right w:val="single" w:sz="4" w:space="0" w:color="auto"/>
            </w:tcBorders>
            <w:shd w:val="clear" w:color="auto" w:fill="DBDBDB"/>
            <w:hideMark/>
          </w:tcPr>
          <w:p w14:paraId="455F7987" w14:textId="77777777" w:rsidR="00FE21FB" w:rsidRPr="009F7009" w:rsidRDefault="00FE21FB">
            <w:pPr>
              <w:jc w:val="center"/>
              <w:rPr>
                <w:b/>
                <w:bCs/>
              </w:rPr>
            </w:pPr>
            <w:r w:rsidRPr="009F7009">
              <w:rPr>
                <w:b/>
                <w:bCs/>
              </w:rPr>
              <w:fldChar w:fldCharType="begin"/>
            </w:r>
            <w:r w:rsidRPr="009F7009">
              <w:rPr>
                <w:b/>
                <w:bCs/>
              </w:rPr>
              <w:instrText xml:space="preserve"> =SUM(ABOVE) </w:instrText>
            </w:r>
            <w:r w:rsidRPr="009F7009">
              <w:rPr>
                <w:b/>
                <w:bCs/>
              </w:rPr>
              <w:fldChar w:fldCharType="separate"/>
            </w:r>
            <w:r w:rsidRPr="009F7009">
              <w:rPr>
                <w:b/>
                <w:bCs/>
                <w:noProof/>
              </w:rPr>
              <w:t>26</w:t>
            </w:r>
            <w:r w:rsidRPr="009F7009">
              <w:rPr>
                <w:b/>
                <w:bCs/>
              </w:rPr>
              <w:fldChar w:fldCharType="end"/>
            </w:r>
          </w:p>
        </w:tc>
        <w:tc>
          <w:tcPr>
            <w:tcW w:w="1134" w:type="dxa"/>
            <w:tcBorders>
              <w:top w:val="nil"/>
              <w:left w:val="nil"/>
              <w:bottom w:val="single" w:sz="8" w:space="0" w:color="auto"/>
              <w:right w:val="single" w:sz="4" w:space="0" w:color="auto"/>
            </w:tcBorders>
            <w:shd w:val="clear" w:color="auto" w:fill="DBDBDB"/>
            <w:hideMark/>
          </w:tcPr>
          <w:p w14:paraId="7AC600D0" w14:textId="77777777" w:rsidR="00FE21FB" w:rsidRPr="009F7009" w:rsidRDefault="00FE21FB">
            <w:pPr>
              <w:jc w:val="center"/>
              <w:rPr>
                <w:b/>
                <w:bCs/>
              </w:rPr>
            </w:pPr>
            <w:r w:rsidRPr="009F7009">
              <w:rPr>
                <w:b/>
                <w:bCs/>
              </w:rPr>
              <w:fldChar w:fldCharType="begin"/>
            </w:r>
            <w:r w:rsidRPr="009F7009">
              <w:rPr>
                <w:b/>
                <w:bCs/>
              </w:rPr>
              <w:instrText xml:space="preserve"> =SUM(ABOVE) </w:instrText>
            </w:r>
            <w:r w:rsidRPr="009F7009">
              <w:rPr>
                <w:b/>
                <w:bCs/>
              </w:rPr>
              <w:fldChar w:fldCharType="separate"/>
            </w:r>
            <w:r w:rsidRPr="009F7009">
              <w:rPr>
                <w:b/>
                <w:bCs/>
                <w:noProof/>
              </w:rPr>
              <w:t>10</w:t>
            </w:r>
            <w:r w:rsidRPr="009F7009">
              <w:rPr>
                <w:b/>
                <w:bCs/>
              </w:rPr>
              <w:fldChar w:fldCharType="end"/>
            </w:r>
          </w:p>
        </w:tc>
        <w:tc>
          <w:tcPr>
            <w:tcW w:w="1323" w:type="dxa"/>
            <w:tcBorders>
              <w:top w:val="nil"/>
              <w:left w:val="nil"/>
              <w:bottom w:val="single" w:sz="8" w:space="0" w:color="auto"/>
              <w:right w:val="single" w:sz="4" w:space="0" w:color="auto"/>
            </w:tcBorders>
            <w:shd w:val="clear" w:color="auto" w:fill="DBDBDB"/>
            <w:hideMark/>
          </w:tcPr>
          <w:p w14:paraId="191A246D" w14:textId="77777777" w:rsidR="00FE21FB" w:rsidRPr="009F7009" w:rsidRDefault="00FE21FB">
            <w:pPr>
              <w:jc w:val="center"/>
              <w:rPr>
                <w:b/>
                <w:bCs/>
              </w:rPr>
            </w:pPr>
            <w:r w:rsidRPr="009F7009">
              <w:rPr>
                <w:b/>
                <w:bCs/>
              </w:rPr>
              <w:fldChar w:fldCharType="begin"/>
            </w:r>
            <w:r w:rsidRPr="009F7009">
              <w:rPr>
                <w:b/>
                <w:bCs/>
              </w:rPr>
              <w:instrText xml:space="preserve"> =SUM(ABOVE) </w:instrText>
            </w:r>
            <w:r w:rsidRPr="009F7009">
              <w:rPr>
                <w:b/>
                <w:bCs/>
              </w:rPr>
              <w:fldChar w:fldCharType="separate"/>
            </w:r>
            <w:r w:rsidRPr="009F7009">
              <w:rPr>
                <w:b/>
                <w:bCs/>
                <w:noProof/>
              </w:rPr>
              <w:t>10</w:t>
            </w:r>
            <w:r w:rsidRPr="009F7009">
              <w:rPr>
                <w:b/>
                <w:bCs/>
              </w:rPr>
              <w:fldChar w:fldCharType="end"/>
            </w:r>
          </w:p>
        </w:tc>
        <w:tc>
          <w:tcPr>
            <w:tcW w:w="1323" w:type="dxa"/>
            <w:tcBorders>
              <w:top w:val="nil"/>
              <w:left w:val="nil"/>
              <w:bottom w:val="single" w:sz="8" w:space="0" w:color="auto"/>
              <w:right w:val="single" w:sz="4" w:space="0" w:color="auto"/>
            </w:tcBorders>
            <w:shd w:val="clear" w:color="auto" w:fill="DBDBDB"/>
            <w:hideMark/>
          </w:tcPr>
          <w:p w14:paraId="1AF41CA0" w14:textId="77777777" w:rsidR="00FE21FB" w:rsidRPr="009F7009" w:rsidRDefault="00FE21FB">
            <w:pPr>
              <w:jc w:val="center"/>
              <w:rPr>
                <w:b/>
                <w:bCs/>
              </w:rPr>
            </w:pPr>
            <w:r w:rsidRPr="009F7009">
              <w:rPr>
                <w:b/>
                <w:bCs/>
              </w:rPr>
              <w:fldChar w:fldCharType="begin"/>
            </w:r>
            <w:r w:rsidRPr="009F7009">
              <w:rPr>
                <w:b/>
                <w:bCs/>
              </w:rPr>
              <w:instrText xml:space="preserve"> =SUM(ABOVE) </w:instrText>
            </w:r>
            <w:r w:rsidRPr="009F7009">
              <w:rPr>
                <w:b/>
                <w:bCs/>
              </w:rPr>
              <w:fldChar w:fldCharType="separate"/>
            </w:r>
            <w:r w:rsidRPr="009F7009">
              <w:rPr>
                <w:b/>
                <w:bCs/>
                <w:noProof/>
              </w:rPr>
              <w:t>6</w:t>
            </w:r>
            <w:r w:rsidRPr="009F7009">
              <w:rPr>
                <w:b/>
                <w:bCs/>
              </w:rPr>
              <w:fldChar w:fldCharType="end"/>
            </w:r>
          </w:p>
        </w:tc>
        <w:tc>
          <w:tcPr>
            <w:tcW w:w="1629" w:type="dxa"/>
            <w:tcBorders>
              <w:top w:val="nil"/>
              <w:left w:val="nil"/>
              <w:bottom w:val="single" w:sz="8" w:space="0" w:color="auto"/>
              <w:right w:val="nil"/>
            </w:tcBorders>
            <w:shd w:val="clear" w:color="auto" w:fill="DBDBDB"/>
            <w:hideMark/>
          </w:tcPr>
          <w:p w14:paraId="21FAF45A" w14:textId="77777777" w:rsidR="00FE21FB" w:rsidRPr="009F7009" w:rsidRDefault="00FE21FB">
            <w:r w:rsidRPr="009F7009">
              <w:t> </w:t>
            </w:r>
          </w:p>
        </w:tc>
        <w:tc>
          <w:tcPr>
            <w:tcW w:w="2835" w:type="dxa"/>
            <w:tcBorders>
              <w:top w:val="nil"/>
              <w:left w:val="single" w:sz="4" w:space="0" w:color="auto"/>
              <w:bottom w:val="single" w:sz="8" w:space="0" w:color="auto"/>
              <w:right w:val="single" w:sz="8" w:space="0" w:color="auto"/>
            </w:tcBorders>
            <w:shd w:val="clear" w:color="auto" w:fill="DBDBDB"/>
            <w:noWrap/>
            <w:hideMark/>
          </w:tcPr>
          <w:p w14:paraId="337CEC73" w14:textId="77777777" w:rsidR="00FE21FB" w:rsidRPr="009F7009" w:rsidRDefault="00FE21FB">
            <w:r w:rsidRPr="009F7009">
              <w:t> </w:t>
            </w:r>
          </w:p>
        </w:tc>
      </w:tr>
      <w:tr w:rsidR="00FE21FB" w:rsidRPr="009F7009" w14:paraId="6BFCF2F0" w14:textId="77777777" w:rsidTr="009F7009">
        <w:trPr>
          <w:trHeight w:val="114"/>
        </w:trPr>
        <w:tc>
          <w:tcPr>
            <w:tcW w:w="693" w:type="dxa"/>
            <w:tcBorders>
              <w:top w:val="nil"/>
              <w:left w:val="single" w:sz="8" w:space="0" w:color="auto"/>
              <w:bottom w:val="single" w:sz="8" w:space="0" w:color="auto"/>
              <w:right w:val="single" w:sz="4" w:space="0" w:color="auto"/>
            </w:tcBorders>
            <w:shd w:val="clear" w:color="auto" w:fill="DBDBDB"/>
            <w:noWrap/>
          </w:tcPr>
          <w:p w14:paraId="256DA3FF" w14:textId="77777777" w:rsidR="00FE21FB" w:rsidRPr="009F7009" w:rsidRDefault="00FE21FB">
            <w:pPr>
              <w:jc w:val="center"/>
            </w:pPr>
          </w:p>
        </w:tc>
        <w:tc>
          <w:tcPr>
            <w:tcW w:w="3298" w:type="dxa"/>
            <w:tcBorders>
              <w:top w:val="nil"/>
              <w:left w:val="nil"/>
              <w:bottom w:val="single" w:sz="8" w:space="0" w:color="auto"/>
              <w:right w:val="single" w:sz="4" w:space="0" w:color="auto"/>
            </w:tcBorders>
            <w:shd w:val="clear" w:color="auto" w:fill="DBDBDB"/>
            <w:hideMark/>
          </w:tcPr>
          <w:p w14:paraId="7A394227" w14:textId="217C0919" w:rsidR="00FE21FB" w:rsidRPr="009F7009" w:rsidRDefault="00A47BE9">
            <w:pPr>
              <w:rPr>
                <w:bCs/>
              </w:rPr>
            </w:pPr>
            <w:r>
              <w:rPr>
                <w:bCs/>
              </w:rPr>
              <w:t>Iš jų</w:t>
            </w:r>
            <w:r w:rsidR="00FE21FB" w:rsidRPr="009F7009">
              <w:rPr>
                <w:bCs/>
              </w:rPr>
              <w:t>:</w:t>
            </w:r>
          </w:p>
        </w:tc>
        <w:tc>
          <w:tcPr>
            <w:tcW w:w="1702" w:type="dxa"/>
            <w:tcBorders>
              <w:top w:val="nil"/>
              <w:left w:val="nil"/>
              <w:bottom w:val="single" w:sz="8" w:space="0" w:color="auto"/>
              <w:right w:val="single" w:sz="4" w:space="0" w:color="auto"/>
            </w:tcBorders>
            <w:shd w:val="clear" w:color="auto" w:fill="DBDBDB"/>
          </w:tcPr>
          <w:p w14:paraId="01ABCE2E" w14:textId="77777777" w:rsidR="00FE21FB" w:rsidRPr="009F7009" w:rsidRDefault="00FE21FB">
            <w:pPr>
              <w:rPr>
                <w:i/>
                <w:iCs/>
              </w:rPr>
            </w:pPr>
          </w:p>
        </w:tc>
        <w:tc>
          <w:tcPr>
            <w:tcW w:w="1350" w:type="dxa"/>
            <w:tcBorders>
              <w:top w:val="nil"/>
              <w:left w:val="nil"/>
              <w:bottom w:val="single" w:sz="8" w:space="0" w:color="auto"/>
              <w:right w:val="single" w:sz="4" w:space="0" w:color="auto"/>
            </w:tcBorders>
            <w:shd w:val="clear" w:color="auto" w:fill="DBDBDB"/>
          </w:tcPr>
          <w:p w14:paraId="37115F80" w14:textId="77777777" w:rsidR="00FE21FB" w:rsidRPr="009F7009" w:rsidRDefault="00FE21FB">
            <w:pPr>
              <w:jc w:val="center"/>
              <w:rPr>
                <w:b/>
                <w:bCs/>
              </w:rPr>
            </w:pPr>
          </w:p>
        </w:tc>
        <w:tc>
          <w:tcPr>
            <w:tcW w:w="1134" w:type="dxa"/>
            <w:tcBorders>
              <w:top w:val="nil"/>
              <w:left w:val="nil"/>
              <w:bottom w:val="single" w:sz="8" w:space="0" w:color="auto"/>
              <w:right w:val="single" w:sz="4" w:space="0" w:color="auto"/>
            </w:tcBorders>
            <w:shd w:val="clear" w:color="auto" w:fill="DBDBDB"/>
          </w:tcPr>
          <w:p w14:paraId="30899276" w14:textId="77777777" w:rsidR="00FE21FB" w:rsidRPr="009F7009" w:rsidRDefault="00FE21FB">
            <w:pPr>
              <w:jc w:val="center"/>
              <w:rPr>
                <w:b/>
                <w:bCs/>
              </w:rPr>
            </w:pPr>
          </w:p>
        </w:tc>
        <w:tc>
          <w:tcPr>
            <w:tcW w:w="1323" w:type="dxa"/>
            <w:tcBorders>
              <w:top w:val="nil"/>
              <w:left w:val="nil"/>
              <w:bottom w:val="single" w:sz="8" w:space="0" w:color="auto"/>
              <w:right w:val="single" w:sz="4" w:space="0" w:color="auto"/>
            </w:tcBorders>
            <w:shd w:val="clear" w:color="auto" w:fill="DBDBDB"/>
          </w:tcPr>
          <w:p w14:paraId="28C484FF" w14:textId="77777777" w:rsidR="00FE21FB" w:rsidRPr="009F7009" w:rsidRDefault="00FE21FB">
            <w:pPr>
              <w:jc w:val="center"/>
              <w:rPr>
                <w:b/>
                <w:bCs/>
              </w:rPr>
            </w:pPr>
          </w:p>
        </w:tc>
        <w:tc>
          <w:tcPr>
            <w:tcW w:w="1323" w:type="dxa"/>
            <w:tcBorders>
              <w:top w:val="nil"/>
              <w:left w:val="nil"/>
              <w:bottom w:val="single" w:sz="8" w:space="0" w:color="auto"/>
              <w:right w:val="single" w:sz="4" w:space="0" w:color="auto"/>
            </w:tcBorders>
            <w:shd w:val="clear" w:color="auto" w:fill="DBDBDB"/>
          </w:tcPr>
          <w:p w14:paraId="162EF318" w14:textId="77777777" w:rsidR="00FE21FB" w:rsidRPr="009F7009" w:rsidRDefault="00FE21FB">
            <w:pPr>
              <w:jc w:val="center"/>
              <w:rPr>
                <w:b/>
                <w:bCs/>
              </w:rPr>
            </w:pPr>
          </w:p>
        </w:tc>
        <w:tc>
          <w:tcPr>
            <w:tcW w:w="1629" w:type="dxa"/>
            <w:tcBorders>
              <w:top w:val="nil"/>
              <w:left w:val="nil"/>
              <w:bottom w:val="single" w:sz="8" w:space="0" w:color="auto"/>
              <w:right w:val="nil"/>
            </w:tcBorders>
            <w:shd w:val="clear" w:color="auto" w:fill="DBDBDB"/>
          </w:tcPr>
          <w:p w14:paraId="2230ABFF" w14:textId="77777777" w:rsidR="00FE21FB" w:rsidRPr="009F7009" w:rsidRDefault="00FE21FB"/>
        </w:tc>
        <w:tc>
          <w:tcPr>
            <w:tcW w:w="2835" w:type="dxa"/>
            <w:tcBorders>
              <w:top w:val="nil"/>
              <w:left w:val="single" w:sz="4" w:space="0" w:color="auto"/>
              <w:bottom w:val="single" w:sz="8" w:space="0" w:color="auto"/>
              <w:right w:val="single" w:sz="8" w:space="0" w:color="auto"/>
            </w:tcBorders>
            <w:shd w:val="clear" w:color="auto" w:fill="DBDBDB"/>
            <w:noWrap/>
          </w:tcPr>
          <w:p w14:paraId="40432C08" w14:textId="77777777" w:rsidR="00FE21FB" w:rsidRPr="009F7009" w:rsidRDefault="00FE21FB"/>
        </w:tc>
      </w:tr>
      <w:tr w:rsidR="00FE21FB" w:rsidRPr="009F7009" w14:paraId="1A1FE731" w14:textId="77777777" w:rsidTr="009F7009">
        <w:trPr>
          <w:trHeight w:val="114"/>
        </w:trPr>
        <w:tc>
          <w:tcPr>
            <w:tcW w:w="693" w:type="dxa"/>
            <w:tcBorders>
              <w:top w:val="nil"/>
              <w:left w:val="single" w:sz="8" w:space="0" w:color="auto"/>
              <w:bottom w:val="single" w:sz="8" w:space="0" w:color="auto"/>
              <w:right w:val="single" w:sz="4" w:space="0" w:color="auto"/>
            </w:tcBorders>
            <w:shd w:val="clear" w:color="auto" w:fill="DBDBDB"/>
            <w:noWrap/>
            <w:hideMark/>
          </w:tcPr>
          <w:p w14:paraId="6200DEB1" w14:textId="77777777" w:rsidR="00FE21FB" w:rsidRPr="009F7009" w:rsidRDefault="00FE21FB">
            <w:pPr>
              <w:jc w:val="center"/>
            </w:pPr>
            <w:r w:rsidRPr="009F7009">
              <w:t> </w:t>
            </w:r>
          </w:p>
        </w:tc>
        <w:tc>
          <w:tcPr>
            <w:tcW w:w="3298" w:type="dxa"/>
            <w:tcBorders>
              <w:top w:val="nil"/>
              <w:left w:val="nil"/>
              <w:bottom w:val="single" w:sz="8" w:space="0" w:color="auto"/>
              <w:right w:val="single" w:sz="4" w:space="0" w:color="auto"/>
            </w:tcBorders>
            <w:shd w:val="clear" w:color="auto" w:fill="DBDBDB"/>
            <w:hideMark/>
          </w:tcPr>
          <w:p w14:paraId="566C0FBB" w14:textId="3A63CC54" w:rsidR="00FE21FB" w:rsidRPr="009F7009" w:rsidRDefault="00FE21FB" w:rsidP="00A47BE9">
            <w:pPr>
              <w:rPr>
                <w:bCs/>
              </w:rPr>
            </w:pPr>
            <w:r w:rsidRPr="009F7009">
              <w:rPr>
                <w:bCs/>
              </w:rPr>
              <w:t xml:space="preserve">AB </w:t>
            </w:r>
            <w:r w:rsidR="00A47BE9">
              <w:rPr>
                <w:bCs/>
              </w:rPr>
              <w:t>,,</w:t>
            </w:r>
            <w:r w:rsidRPr="009F7009">
              <w:rPr>
                <w:bCs/>
              </w:rPr>
              <w:t>Panevėžio energija</w:t>
            </w:r>
            <w:r w:rsidR="00A47BE9">
              <w:rPr>
                <w:bCs/>
              </w:rPr>
              <w:t>“</w:t>
            </w:r>
            <w:r w:rsidRPr="009F7009">
              <w:rPr>
                <w:bCs/>
              </w:rPr>
              <w:t xml:space="preserve"> lėšos</w:t>
            </w:r>
          </w:p>
        </w:tc>
        <w:tc>
          <w:tcPr>
            <w:tcW w:w="1702" w:type="dxa"/>
            <w:tcBorders>
              <w:top w:val="nil"/>
              <w:left w:val="nil"/>
              <w:bottom w:val="single" w:sz="8" w:space="0" w:color="auto"/>
              <w:right w:val="single" w:sz="4" w:space="0" w:color="auto"/>
            </w:tcBorders>
            <w:shd w:val="clear" w:color="auto" w:fill="DBDBDB"/>
            <w:hideMark/>
          </w:tcPr>
          <w:p w14:paraId="0AA45433" w14:textId="77777777" w:rsidR="00FE21FB" w:rsidRPr="009F7009" w:rsidRDefault="00FE21FB">
            <w:pPr>
              <w:rPr>
                <w:i/>
                <w:iCs/>
              </w:rPr>
            </w:pPr>
            <w:r w:rsidRPr="009F7009">
              <w:rPr>
                <w:i/>
                <w:iCs/>
              </w:rPr>
              <w:t> </w:t>
            </w:r>
          </w:p>
        </w:tc>
        <w:tc>
          <w:tcPr>
            <w:tcW w:w="1350" w:type="dxa"/>
            <w:tcBorders>
              <w:top w:val="nil"/>
              <w:left w:val="nil"/>
              <w:bottom w:val="single" w:sz="8" w:space="0" w:color="auto"/>
              <w:right w:val="single" w:sz="4" w:space="0" w:color="auto"/>
            </w:tcBorders>
            <w:shd w:val="clear" w:color="auto" w:fill="DBDBDB"/>
            <w:hideMark/>
          </w:tcPr>
          <w:p w14:paraId="5D3EE525" w14:textId="77777777" w:rsidR="00FE21FB" w:rsidRPr="009F7009" w:rsidRDefault="00FE21FB">
            <w:pPr>
              <w:jc w:val="center"/>
              <w:rPr>
                <w:b/>
                <w:bCs/>
              </w:rPr>
            </w:pPr>
            <w:r w:rsidRPr="009F7009">
              <w:rPr>
                <w:b/>
                <w:bCs/>
              </w:rPr>
              <w:t>26</w:t>
            </w:r>
          </w:p>
        </w:tc>
        <w:tc>
          <w:tcPr>
            <w:tcW w:w="1134" w:type="dxa"/>
            <w:tcBorders>
              <w:top w:val="nil"/>
              <w:left w:val="nil"/>
              <w:bottom w:val="single" w:sz="8" w:space="0" w:color="auto"/>
              <w:right w:val="single" w:sz="4" w:space="0" w:color="auto"/>
            </w:tcBorders>
            <w:shd w:val="clear" w:color="auto" w:fill="DBDBDB"/>
            <w:hideMark/>
          </w:tcPr>
          <w:p w14:paraId="50E99442" w14:textId="77777777" w:rsidR="00FE21FB" w:rsidRPr="009F7009" w:rsidRDefault="00FE21FB">
            <w:pPr>
              <w:jc w:val="center"/>
              <w:rPr>
                <w:b/>
                <w:bCs/>
              </w:rPr>
            </w:pPr>
            <w:r w:rsidRPr="009F7009">
              <w:rPr>
                <w:b/>
                <w:bCs/>
              </w:rPr>
              <w:t>10</w:t>
            </w:r>
          </w:p>
        </w:tc>
        <w:tc>
          <w:tcPr>
            <w:tcW w:w="1323" w:type="dxa"/>
            <w:tcBorders>
              <w:top w:val="nil"/>
              <w:left w:val="nil"/>
              <w:bottom w:val="single" w:sz="8" w:space="0" w:color="auto"/>
              <w:right w:val="single" w:sz="4" w:space="0" w:color="auto"/>
            </w:tcBorders>
            <w:shd w:val="clear" w:color="auto" w:fill="DBDBDB"/>
            <w:hideMark/>
          </w:tcPr>
          <w:p w14:paraId="2BE97D52" w14:textId="77777777" w:rsidR="00FE21FB" w:rsidRPr="009F7009" w:rsidRDefault="00FE21FB">
            <w:pPr>
              <w:jc w:val="center"/>
              <w:rPr>
                <w:b/>
                <w:bCs/>
              </w:rPr>
            </w:pPr>
            <w:r w:rsidRPr="009F7009">
              <w:rPr>
                <w:b/>
                <w:bCs/>
              </w:rPr>
              <w:t>10</w:t>
            </w:r>
          </w:p>
        </w:tc>
        <w:tc>
          <w:tcPr>
            <w:tcW w:w="1323" w:type="dxa"/>
            <w:tcBorders>
              <w:top w:val="nil"/>
              <w:left w:val="nil"/>
              <w:bottom w:val="single" w:sz="8" w:space="0" w:color="auto"/>
              <w:right w:val="single" w:sz="4" w:space="0" w:color="auto"/>
            </w:tcBorders>
            <w:shd w:val="clear" w:color="auto" w:fill="DBDBDB"/>
            <w:hideMark/>
          </w:tcPr>
          <w:p w14:paraId="3779885C" w14:textId="77777777" w:rsidR="00FE21FB" w:rsidRPr="009F7009" w:rsidRDefault="00FE21FB">
            <w:pPr>
              <w:jc w:val="center"/>
              <w:rPr>
                <w:b/>
                <w:bCs/>
              </w:rPr>
            </w:pPr>
            <w:r w:rsidRPr="009F7009">
              <w:rPr>
                <w:b/>
                <w:bCs/>
              </w:rPr>
              <w:t>6</w:t>
            </w:r>
          </w:p>
        </w:tc>
        <w:tc>
          <w:tcPr>
            <w:tcW w:w="1629" w:type="dxa"/>
            <w:tcBorders>
              <w:top w:val="nil"/>
              <w:left w:val="nil"/>
              <w:bottom w:val="single" w:sz="8" w:space="0" w:color="auto"/>
              <w:right w:val="nil"/>
            </w:tcBorders>
            <w:shd w:val="clear" w:color="auto" w:fill="DBDBDB"/>
            <w:hideMark/>
          </w:tcPr>
          <w:p w14:paraId="4C70F588" w14:textId="77777777" w:rsidR="00FE21FB" w:rsidRPr="009F7009" w:rsidRDefault="00FE21FB">
            <w:r w:rsidRPr="009F7009">
              <w:t> </w:t>
            </w:r>
          </w:p>
        </w:tc>
        <w:tc>
          <w:tcPr>
            <w:tcW w:w="2835" w:type="dxa"/>
            <w:tcBorders>
              <w:top w:val="nil"/>
              <w:left w:val="single" w:sz="4" w:space="0" w:color="auto"/>
              <w:bottom w:val="single" w:sz="8" w:space="0" w:color="auto"/>
              <w:right w:val="single" w:sz="8" w:space="0" w:color="auto"/>
            </w:tcBorders>
            <w:shd w:val="clear" w:color="auto" w:fill="DBDBDB"/>
            <w:noWrap/>
            <w:hideMark/>
          </w:tcPr>
          <w:p w14:paraId="24884085" w14:textId="77777777" w:rsidR="00FE21FB" w:rsidRPr="009F7009" w:rsidRDefault="00FE21FB">
            <w:r w:rsidRPr="009F7009">
              <w:t> </w:t>
            </w:r>
          </w:p>
        </w:tc>
      </w:tr>
      <w:tr w:rsidR="00FE21FB" w:rsidRPr="009F7009" w14:paraId="53D27C63" w14:textId="77777777" w:rsidTr="009F7009">
        <w:trPr>
          <w:trHeight w:val="109"/>
        </w:trPr>
        <w:tc>
          <w:tcPr>
            <w:tcW w:w="15287" w:type="dxa"/>
            <w:gridSpan w:val="9"/>
            <w:noWrap/>
            <w:vAlign w:val="bottom"/>
          </w:tcPr>
          <w:p w14:paraId="54F4F11B" w14:textId="77777777" w:rsidR="00FE21FB" w:rsidRPr="009F7009" w:rsidRDefault="00FE21FB"/>
        </w:tc>
      </w:tr>
      <w:tr w:rsidR="00FE21FB" w:rsidRPr="00A47BE9" w14:paraId="4C50E4FF" w14:textId="77777777" w:rsidTr="009F7009">
        <w:trPr>
          <w:trHeight w:val="109"/>
        </w:trPr>
        <w:tc>
          <w:tcPr>
            <w:tcW w:w="15287" w:type="dxa"/>
            <w:gridSpan w:val="9"/>
            <w:noWrap/>
            <w:vAlign w:val="bottom"/>
            <w:hideMark/>
          </w:tcPr>
          <w:p w14:paraId="4CFACB2A" w14:textId="68BC3A80" w:rsidR="00FE21FB" w:rsidRPr="00A47BE9" w:rsidRDefault="00FE21FB" w:rsidP="00A47BE9">
            <w:pPr>
              <w:rPr>
                <w:i/>
                <w:sz w:val="20"/>
                <w:szCs w:val="20"/>
              </w:rPr>
            </w:pPr>
            <w:r w:rsidRPr="00A47BE9">
              <w:rPr>
                <w:i/>
                <w:sz w:val="20"/>
                <w:szCs w:val="20"/>
              </w:rPr>
              <w:t xml:space="preserve">PASTABA. Investicijų eilės numeriai pateikiami kaip Rokiškio rajono savivaldybės tarybos </w:t>
            </w:r>
            <w:r w:rsidR="00A47BE9" w:rsidRPr="00A47BE9">
              <w:rPr>
                <w:i/>
                <w:sz w:val="20"/>
                <w:szCs w:val="20"/>
              </w:rPr>
              <w:t xml:space="preserve">2017-05-26 </w:t>
            </w:r>
            <w:r w:rsidRPr="00A47BE9">
              <w:rPr>
                <w:i/>
                <w:sz w:val="20"/>
                <w:szCs w:val="20"/>
              </w:rPr>
              <w:t>sprendimu Nr. TS-127 suderintų AB</w:t>
            </w:r>
            <w:r w:rsidR="00A47BE9" w:rsidRPr="00A47BE9">
              <w:rPr>
                <w:i/>
                <w:sz w:val="20"/>
                <w:szCs w:val="20"/>
              </w:rPr>
              <w:t xml:space="preserve"> ,,</w:t>
            </w:r>
            <w:r w:rsidRPr="00A47BE9">
              <w:rPr>
                <w:i/>
                <w:sz w:val="20"/>
                <w:szCs w:val="20"/>
              </w:rPr>
              <w:t>Panevėžio energija</w:t>
            </w:r>
            <w:r w:rsidR="00A47BE9" w:rsidRPr="00A47BE9">
              <w:rPr>
                <w:i/>
                <w:sz w:val="20"/>
                <w:szCs w:val="20"/>
              </w:rPr>
              <w:t>“</w:t>
            </w:r>
            <w:r w:rsidRPr="00A47BE9">
              <w:rPr>
                <w:i/>
                <w:sz w:val="20"/>
                <w:szCs w:val="20"/>
              </w:rPr>
              <w:t xml:space="preserve"> 2016 metų</w:t>
            </w:r>
          </w:p>
        </w:tc>
      </w:tr>
      <w:tr w:rsidR="00FE21FB" w:rsidRPr="00A47BE9" w14:paraId="50B21031" w14:textId="77777777" w:rsidTr="009F7009">
        <w:trPr>
          <w:trHeight w:val="109"/>
        </w:trPr>
        <w:tc>
          <w:tcPr>
            <w:tcW w:w="15287" w:type="dxa"/>
            <w:gridSpan w:val="9"/>
            <w:noWrap/>
            <w:vAlign w:val="bottom"/>
            <w:hideMark/>
          </w:tcPr>
          <w:p w14:paraId="566DE333" w14:textId="584E16BC" w:rsidR="00FE21FB" w:rsidRPr="00A47BE9" w:rsidRDefault="00FE21FB" w:rsidP="00A47BE9">
            <w:pPr>
              <w:rPr>
                <w:i/>
                <w:sz w:val="20"/>
                <w:szCs w:val="20"/>
              </w:rPr>
            </w:pPr>
            <w:r w:rsidRPr="00A47BE9">
              <w:rPr>
                <w:i/>
                <w:sz w:val="20"/>
                <w:szCs w:val="20"/>
              </w:rPr>
              <w:t xml:space="preserve">faktinių investicijų ir 2017–2018 metų planuojamų investicijų Rokiškio šilumos tinklų rajone esami (tikslinamai investicijai) arba tęstiniai numeriai (naujoms investicijoms) </w:t>
            </w:r>
          </w:p>
        </w:tc>
      </w:tr>
    </w:tbl>
    <w:p w14:paraId="291AFA4C" w14:textId="77777777" w:rsidR="00030AD1" w:rsidRPr="00A47BE9" w:rsidRDefault="00030AD1" w:rsidP="00A47BE9">
      <w:pPr>
        <w:rPr>
          <w:i/>
          <w:sz w:val="20"/>
          <w:szCs w:val="20"/>
        </w:rPr>
      </w:pPr>
    </w:p>
    <w:p w14:paraId="0B00F8D3" w14:textId="77777777" w:rsidR="00030AD1" w:rsidRDefault="00030AD1" w:rsidP="0011716C">
      <w:pPr>
        <w:jc w:val="center"/>
        <w:rPr>
          <w:b/>
        </w:rPr>
        <w:sectPr w:rsidR="00030AD1" w:rsidSect="009A4CEF">
          <w:pgSz w:w="16838" w:h="11906" w:orient="landscape" w:code="9"/>
          <w:pgMar w:top="1701" w:right="1701" w:bottom="567" w:left="1134" w:header="567" w:footer="567" w:gutter="0"/>
          <w:cols w:space="1296"/>
          <w:docGrid w:linePitch="360"/>
        </w:sectPr>
      </w:pPr>
    </w:p>
    <w:p w14:paraId="7BA81883" w14:textId="77777777" w:rsidR="0011716C" w:rsidRPr="00AA122A" w:rsidRDefault="0011716C" w:rsidP="003D03CD">
      <w:pPr>
        <w:jc w:val="center"/>
        <w:rPr>
          <w:b/>
        </w:rPr>
      </w:pPr>
    </w:p>
    <w:p w14:paraId="7ACDDDDB" w14:textId="48C45E58" w:rsidR="00017654" w:rsidRDefault="00976DC0" w:rsidP="00017654">
      <w:pPr>
        <w:jc w:val="center"/>
        <w:rPr>
          <w:b/>
        </w:rPr>
      </w:pPr>
      <w:r w:rsidRPr="00AA122A">
        <w:rPr>
          <w:b/>
        </w:rPr>
        <w:t>SPRENDIMO PROJEKTO</w:t>
      </w:r>
      <w:r w:rsidR="00451C72">
        <w:rPr>
          <w:b/>
        </w:rPr>
        <w:t xml:space="preserve">  </w:t>
      </w:r>
      <w:r w:rsidR="00017654">
        <w:rPr>
          <w:b/>
        </w:rPr>
        <w:t>„DĖL ROKIŠKIO RAJONO SAVIVALDYBĖS TARYBAI TEIKIAMŲ DERINTI AB „PANEVĖŽIO ENERGIJA“ 2016 METŲ FAKTINIŲ INVESTICIJŲ IR 2017 –  2018 METŲ PLANUOJAMŲ INVESTICIJŲ ROKIŠKIO ŠILUMOS TINKLŲ RAJONE PATIKSLINIMO“</w:t>
      </w:r>
    </w:p>
    <w:p w14:paraId="7BA81884" w14:textId="39DE9453" w:rsidR="007113CB" w:rsidRPr="00AA122A" w:rsidRDefault="00976DC0" w:rsidP="00451C72">
      <w:pPr>
        <w:jc w:val="center"/>
        <w:rPr>
          <w:b/>
        </w:rPr>
      </w:pPr>
      <w:r w:rsidRPr="00AA122A">
        <w:rPr>
          <w:b/>
        </w:rPr>
        <w:t xml:space="preserve"> AIŠKINAMASIS RAŠTAS</w:t>
      </w:r>
    </w:p>
    <w:p w14:paraId="7BA81885" w14:textId="77777777" w:rsidR="003A7BA0" w:rsidRPr="00AA122A" w:rsidRDefault="003A7BA0" w:rsidP="003D03CD">
      <w:pPr>
        <w:jc w:val="center"/>
      </w:pPr>
    </w:p>
    <w:p w14:paraId="7BA81886" w14:textId="77777777" w:rsidR="0011716C" w:rsidRPr="00AA122A" w:rsidRDefault="0011716C" w:rsidP="00D23497">
      <w:pPr>
        <w:jc w:val="center"/>
      </w:pPr>
    </w:p>
    <w:p w14:paraId="7BA81887" w14:textId="1021446C" w:rsidR="003A7BA0" w:rsidRPr="00AA122A" w:rsidRDefault="00451C72" w:rsidP="00D23497">
      <w:pPr>
        <w:jc w:val="center"/>
      </w:pPr>
      <w:r>
        <w:t>2018 m. balandžio 27</w:t>
      </w:r>
      <w:r w:rsidR="003A7BA0" w:rsidRPr="00AA122A">
        <w:t xml:space="preserve"> d.</w:t>
      </w:r>
    </w:p>
    <w:p w14:paraId="7BA81888" w14:textId="77777777" w:rsidR="003A7BA0" w:rsidRPr="00AA122A" w:rsidRDefault="003A7BA0" w:rsidP="00D23497">
      <w:pPr>
        <w:jc w:val="center"/>
      </w:pPr>
      <w:r w:rsidRPr="00AA122A">
        <w:t>Rokiškis</w:t>
      </w:r>
    </w:p>
    <w:p w14:paraId="7BA81889" w14:textId="77777777" w:rsidR="003A7BA0" w:rsidRPr="00AA122A" w:rsidRDefault="003A7BA0" w:rsidP="00D23497">
      <w:pPr>
        <w:jc w:val="both"/>
      </w:pPr>
    </w:p>
    <w:p w14:paraId="5FE4454D" w14:textId="77777777" w:rsidR="00493BE5" w:rsidRDefault="00493BE5" w:rsidP="00493BE5">
      <w:pPr>
        <w:jc w:val="both"/>
        <w:rPr>
          <w:b/>
        </w:rPr>
      </w:pPr>
      <w:r>
        <w:rPr>
          <w:b/>
        </w:rPr>
        <w:tab/>
      </w:r>
      <w:r w:rsidR="003A7BA0" w:rsidRPr="00AA122A">
        <w:rPr>
          <w:b/>
        </w:rPr>
        <w:t>Parengto</w:t>
      </w:r>
      <w:r w:rsidR="0011716C" w:rsidRPr="00AA122A">
        <w:rPr>
          <w:b/>
        </w:rPr>
        <w:t xml:space="preserve"> projekto tikslai ir uždaviniai</w:t>
      </w:r>
      <w:r>
        <w:rPr>
          <w:b/>
        </w:rPr>
        <w:t xml:space="preserve">. </w:t>
      </w:r>
      <w:r w:rsidRPr="00493BE5">
        <w:t>Teikiamos</w:t>
      </w:r>
      <w:r w:rsidR="007D634A">
        <w:t xml:space="preserve"> patikslint</w:t>
      </w:r>
      <w:r>
        <w:t>o</w:t>
      </w:r>
      <w:r w:rsidR="007D634A">
        <w:t xml:space="preserve">s </w:t>
      </w:r>
      <w:r w:rsidR="009A4CEF" w:rsidRPr="00AA122A">
        <w:t>AB „Panevėžio energija“</w:t>
      </w:r>
      <w:r w:rsidR="00D50AB9" w:rsidRPr="00AA122A">
        <w:t xml:space="preserve"> </w:t>
      </w:r>
      <w:r w:rsidR="007D634A">
        <w:t>2016 metų faktin</w:t>
      </w:r>
      <w:r>
        <w:t>ė</w:t>
      </w:r>
      <w:r w:rsidR="007D634A">
        <w:t xml:space="preserve">s ir </w:t>
      </w:r>
      <w:r w:rsidR="009A4CEF" w:rsidRPr="00AA122A">
        <w:t>20</w:t>
      </w:r>
      <w:r w:rsidR="007D634A">
        <w:t>17</w:t>
      </w:r>
      <w:r>
        <w:t>–</w:t>
      </w:r>
      <w:r w:rsidR="00451C72">
        <w:t>2018</w:t>
      </w:r>
      <w:r w:rsidR="00E96FE4" w:rsidRPr="00AA122A">
        <w:t xml:space="preserve"> metų</w:t>
      </w:r>
      <w:r w:rsidR="007D634A">
        <w:t xml:space="preserve"> planuoj</w:t>
      </w:r>
      <w:r>
        <w:t>amo</w:t>
      </w:r>
      <w:r w:rsidR="007D634A">
        <w:t>s</w:t>
      </w:r>
      <w:r w:rsidR="007113CB" w:rsidRPr="00AA122A">
        <w:t xml:space="preserve"> </w:t>
      </w:r>
      <w:r w:rsidR="00451C72">
        <w:t>investicij</w:t>
      </w:r>
      <w:r>
        <w:t>o</w:t>
      </w:r>
      <w:r w:rsidR="00451C72">
        <w:t>s</w:t>
      </w:r>
      <w:r w:rsidR="00FE2E31" w:rsidRPr="00AA122A">
        <w:t xml:space="preserve"> </w:t>
      </w:r>
      <w:r w:rsidR="007113CB" w:rsidRPr="00AA122A">
        <w:t>Rokiškio šilumos tinklų rajone</w:t>
      </w:r>
      <w:r w:rsidR="007A05D4" w:rsidRPr="00AA122A">
        <w:t xml:space="preserve">. </w:t>
      </w:r>
      <w:r w:rsidR="00030A48" w:rsidRPr="00AA122A">
        <w:t xml:space="preserve">Tikslas </w:t>
      </w:r>
      <w:r>
        <w:t>–</w:t>
      </w:r>
      <w:r w:rsidR="00030A48" w:rsidRPr="00AA122A">
        <w:t xml:space="preserve"> pagerinti šilumos tinklų būklę Rokiškio </w:t>
      </w:r>
      <w:r w:rsidR="00E96FE4" w:rsidRPr="00AA122A">
        <w:t>mieste</w:t>
      </w:r>
      <w:r w:rsidR="00030A48" w:rsidRPr="00AA122A">
        <w:t>.</w:t>
      </w:r>
    </w:p>
    <w:p w14:paraId="3356218F" w14:textId="2C83D67B" w:rsidR="00EA497D" w:rsidRPr="00493BE5" w:rsidRDefault="00493BE5" w:rsidP="00493BE5">
      <w:pPr>
        <w:jc w:val="both"/>
        <w:rPr>
          <w:b/>
        </w:rPr>
      </w:pPr>
      <w:r>
        <w:rPr>
          <w:b/>
        </w:rPr>
        <w:tab/>
      </w:r>
      <w:r w:rsidR="003A7BA0" w:rsidRPr="00AA122A">
        <w:rPr>
          <w:b/>
        </w:rPr>
        <w:t>Šiuo metu e</w:t>
      </w:r>
      <w:r w:rsidR="0011716C" w:rsidRPr="00AA122A">
        <w:rPr>
          <w:b/>
        </w:rPr>
        <w:t>santis teisinis reglamentavimas</w:t>
      </w:r>
      <w:r w:rsidR="002D2783" w:rsidRPr="00AA122A">
        <w:rPr>
          <w:b/>
        </w:rPr>
        <w:t xml:space="preserve">. </w:t>
      </w:r>
      <w:r w:rsidR="00EA497D" w:rsidRPr="00493BE5">
        <w:t>AB „Panevėžio energija“ investicijos Rokiškio šilumos tinklų rajone Rokiškio rajono savivaldybės tarybos derinimui teikiamos</w:t>
      </w:r>
      <w:r>
        <w:t xml:space="preserve"> </w:t>
      </w:r>
      <w:r w:rsidR="00EA497D" w:rsidRPr="00493BE5">
        <w:t>remiantis:</w:t>
      </w:r>
    </w:p>
    <w:p w14:paraId="0A522938" w14:textId="59819AD3" w:rsidR="00EA497D" w:rsidRDefault="00EA497D" w:rsidP="00EA497D">
      <w:pPr>
        <w:ind w:firstLine="1296"/>
        <w:jc w:val="both"/>
      </w:pPr>
      <w:r>
        <w:t>1</w:t>
      </w:r>
      <w:r w:rsidR="00FA2100">
        <w:t>)</w:t>
      </w:r>
      <w:r>
        <w:t xml:space="preserve"> Valstybinės kainų ir energetikos kontrolės komisijos (toliau </w:t>
      </w:r>
      <w:r w:rsidR="00FA2100">
        <w:t xml:space="preserve">– </w:t>
      </w:r>
      <w:r>
        <w:t>VKEKK) 2015-04-17 nutarimu Nr. O3-252 patvirtintu Energetikos įmonių investicijų vertinimo ir derinimo Valstybinėje kainų ir energetikos kontrolės komisijoje tvarkos aprašu</w:t>
      </w:r>
      <w:r w:rsidR="00FA2100">
        <w:t xml:space="preserve"> </w:t>
      </w:r>
      <w:r>
        <w:t xml:space="preserve">(toliau </w:t>
      </w:r>
      <w:r w:rsidR="00FA2100">
        <w:t xml:space="preserve">– </w:t>
      </w:r>
      <w:r>
        <w:t>Aprašas)</w:t>
      </w:r>
      <w:r w:rsidR="00FA2100">
        <w:t>, kuriame</w:t>
      </w:r>
      <w:r>
        <w:t xml:space="preserve"> nurodoma, kad visos VKEKK derin</w:t>
      </w:r>
      <w:r w:rsidR="00FA2100">
        <w:t>ti</w:t>
      </w:r>
      <w:r>
        <w:t xml:space="preserve"> teikiamos investicijos turi būti suderintos su savivaldybių tarybomis, su prašymu derinti investicijas pateikiant savivaldybių tarybų sprendimų dėl investicijų derinimo kopijas</w:t>
      </w:r>
      <w:r w:rsidR="00FA2100">
        <w:t>;</w:t>
      </w:r>
      <w:r>
        <w:t xml:space="preserve">  </w:t>
      </w:r>
    </w:p>
    <w:p w14:paraId="0D03FAA6" w14:textId="73344B48" w:rsidR="00EA497D" w:rsidRDefault="00EA497D" w:rsidP="00EA497D">
      <w:pPr>
        <w:jc w:val="both"/>
      </w:pPr>
      <w:r>
        <w:tab/>
        <w:t>2</w:t>
      </w:r>
      <w:r w:rsidR="00FA2100">
        <w:t>)</w:t>
      </w:r>
      <w:r>
        <w:t xml:space="preserve"> Lietuvos Respublikos šilumos ūkio įstatymo 10 skirsnio 35 straipsniu; </w:t>
      </w:r>
    </w:p>
    <w:p w14:paraId="6CB379B5" w14:textId="7EFAE23C" w:rsidR="00EA497D" w:rsidRDefault="00EA497D" w:rsidP="00EA497D">
      <w:pPr>
        <w:jc w:val="both"/>
      </w:pPr>
      <w:r>
        <w:tab/>
        <w:t>3</w:t>
      </w:r>
      <w:r w:rsidR="00FA2100">
        <w:t>)</w:t>
      </w:r>
      <w:r>
        <w:t xml:space="preserve"> Lietuvos Respublikos energetikos įstatymo 3 skirsnio 15 straipsnio 3 punktu;</w:t>
      </w:r>
    </w:p>
    <w:p w14:paraId="7BA8188D" w14:textId="3EEFB132" w:rsidR="003A7BA0" w:rsidRPr="00AA122A" w:rsidRDefault="00EA497D" w:rsidP="00253C24">
      <w:pPr>
        <w:ind w:firstLine="720"/>
        <w:jc w:val="both"/>
      </w:pPr>
      <w:r>
        <w:tab/>
        <w:t>4</w:t>
      </w:r>
      <w:r w:rsidR="00FA2100">
        <w:t>)</w:t>
      </w:r>
      <w:r>
        <w:t xml:space="preserve"> Lietuvos Respublikos vietos savivaldos įstatymo 6 straipsnio 30 punktu ir 16 straipsnio 4 punktu.</w:t>
      </w:r>
    </w:p>
    <w:p w14:paraId="40B6140E" w14:textId="6E65DA89" w:rsidR="00253C24" w:rsidRDefault="00FA2100" w:rsidP="00253C24">
      <w:pPr>
        <w:jc w:val="both"/>
      </w:pPr>
      <w:r>
        <w:rPr>
          <w:b/>
        </w:rPr>
        <w:tab/>
      </w:r>
      <w:r w:rsidR="0011716C" w:rsidRPr="00AA122A">
        <w:rPr>
          <w:b/>
        </w:rPr>
        <w:t>Sprendimo esmė</w:t>
      </w:r>
      <w:r w:rsidR="002D2783" w:rsidRPr="00AA122A">
        <w:rPr>
          <w:b/>
        </w:rPr>
        <w:t xml:space="preserve">. </w:t>
      </w:r>
      <w:r w:rsidR="00253C24">
        <w:t xml:space="preserve">Po Rokiškio rajono savivaldybės tarybos (toliau </w:t>
      </w:r>
      <w:r>
        <w:t xml:space="preserve">– </w:t>
      </w:r>
      <w:r w:rsidR="00253C24">
        <w:t xml:space="preserve">Taryba) 2017-05-26 sprendimu Nr. TS-127 patvirtintų 2016, 2017, 2018 metų AB „Panevėžio energija“ investicijų Rokiškio šilumos tinklų rajone į 2017-12-27 AB „Panevėžio energija“ </w:t>
      </w:r>
      <w:r>
        <w:t>v</w:t>
      </w:r>
      <w:r w:rsidR="00253C24">
        <w:t>aldybos sprendimu patvirtintą AB „Panevėžio energija“ 2018 metų investicijų planą kaip bendrųjų poreikių investicij</w:t>
      </w:r>
      <w:r>
        <w:t>os</w:t>
      </w:r>
      <w:r w:rsidR="00253C24">
        <w:t xml:space="preserve"> buvo įtraukt</w:t>
      </w:r>
      <w:r>
        <w:t>os</w:t>
      </w:r>
      <w:r w:rsidR="00253C24">
        <w:t xml:space="preserve"> dvi papildomos investicijos, nederintos su </w:t>
      </w:r>
      <w:r>
        <w:t>t</w:t>
      </w:r>
      <w:r w:rsidR="00253C24">
        <w:t xml:space="preserve">aryba, tikslinta viena 2017 m. bendrųjų poreikių investicija. </w:t>
      </w:r>
    </w:p>
    <w:p w14:paraId="242C373A" w14:textId="77777777" w:rsidR="00253C24" w:rsidRDefault="00253C24" w:rsidP="00253C24">
      <w:pPr>
        <w:jc w:val="both"/>
      </w:pPr>
      <w:r>
        <w:tab/>
        <w:t>Tarybos derinimui teikiamos investicijos:</w:t>
      </w:r>
    </w:p>
    <w:p w14:paraId="4F4F7340" w14:textId="77777777" w:rsidR="00253C24" w:rsidRDefault="00253C24" w:rsidP="00253C24">
      <w:pPr>
        <w:ind w:firstLine="1296"/>
        <w:jc w:val="both"/>
        <w:rPr>
          <w:u w:val="single"/>
        </w:rPr>
      </w:pPr>
      <w:r>
        <w:rPr>
          <w:u w:val="single"/>
        </w:rPr>
        <w:t>Bendrųjų poreikių investicijos:</w:t>
      </w:r>
    </w:p>
    <w:p w14:paraId="36054D85" w14:textId="77777777" w:rsidR="00253C24" w:rsidRDefault="00253C24" w:rsidP="00253C24">
      <w:pPr>
        <w:ind w:firstLine="1296"/>
        <w:jc w:val="both"/>
        <w:rPr>
          <w:i/>
        </w:rPr>
      </w:pPr>
      <w:r>
        <w:rPr>
          <w:i/>
          <w:u w:val="single"/>
        </w:rPr>
        <w:t>Atsiskaitomieji apskaitos prietaisai</w:t>
      </w:r>
      <w:r>
        <w:rPr>
          <w:i/>
        </w:rPr>
        <w:t>.</w:t>
      </w:r>
    </w:p>
    <w:p w14:paraId="047BB70B" w14:textId="2B77D6EC" w:rsidR="00253C24" w:rsidRDefault="00253C24" w:rsidP="00253C24">
      <w:pPr>
        <w:jc w:val="both"/>
      </w:pPr>
      <w:r>
        <w:tab/>
        <w:t xml:space="preserve">2017-05-26 Tarybos sprendimu Nr. TS-127 4 tūkst. </w:t>
      </w:r>
      <w:proofErr w:type="spellStart"/>
      <w:r>
        <w:t>Eur</w:t>
      </w:r>
      <w:proofErr w:type="spellEnd"/>
      <w:r>
        <w:t xml:space="preserve"> suderinta ši 2017 metų bendrųjų poreikių investicija padidėjo iki 6 tūkst. </w:t>
      </w:r>
      <w:proofErr w:type="spellStart"/>
      <w:r>
        <w:t>Eur</w:t>
      </w:r>
      <w:proofErr w:type="spellEnd"/>
      <w:r>
        <w:t>, kadangi vietoje 15 vienetų planuotų pakeisti pas šilumos vartotojus esančių senų ir</w:t>
      </w:r>
      <w:r w:rsidR="00FA2100">
        <w:t xml:space="preserve"> </w:t>
      </w:r>
      <w:r>
        <w:t>/</w:t>
      </w:r>
      <w:r w:rsidR="00FA2100">
        <w:t xml:space="preserve"> </w:t>
      </w:r>
      <w:r>
        <w:t xml:space="preserve">ar technologiškai pasenusių atsiskaitomųjų apskaitos prietaisų pakeisti 24 vienetai (pokyčio priežastys įvairios </w:t>
      </w:r>
      <w:r w:rsidR="00FA2100">
        <w:t>–</w:t>
      </w:r>
      <w:r>
        <w:t xml:space="preserve"> prietaiso gedimas, kai jį taisyti finansiškai nebeapsimoka, prietaiso poreikis renovavus šilumos punktą ir pan.). Padidėjusi 2017 m. investicija įtakos šilumos kainai praktiškai neturės (iki 0,00016 ct/</w:t>
      </w:r>
      <w:proofErr w:type="spellStart"/>
      <w:r>
        <w:t>kWh</w:t>
      </w:r>
      <w:proofErr w:type="spellEnd"/>
      <w:r>
        <w:t>).</w:t>
      </w:r>
    </w:p>
    <w:p w14:paraId="1929DEAA" w14:textId="77777777" w:rsidR="00253C24" w:rsidRDefault="00253C24" w:rsidP="00253C24">
      <w:pPr>
        <w:jc w:val="both"/>
        <w:rPr>
          <w:sz w:val="22"/>
          <w:szCs w:val="22"/>
        </w:rPr>
      </w:pPr>
      <w:r>
        <w:rPr>
          <w:sz w:val="22"/>
          <w:szCs w:val="22"/>
        </w:rPr>
        <w:tab/>
      </w:r>
      <w:r>
        <w:rPr>
          <w:i/>
          <w:sz w:val="22"/>
          <w:szCs w:val="22"/>
          <w:u w:val="single"/>
        </w:rPr>
        <w:t>Duomenų nuotolinio nuskaitymo įranga atsiskaitomiesiems apskaitos prietaisams.</w:t>
      </w:r>
      <w:r>
        <w:rPr>
          <w:sz w:val="22"/>
          <w:szCs w:val="22"/>
        </w:rPr>
        <w:t xml:space="preserve"> </w:t>
      </w:r>
    </w:p>
    <w:p w14:paraId="764FE60A" w14:textId="33018E94" w:rsidR="00253C24" w:rsidRDefault="00253C24" w:rsidP="00253C24">
      <w:pPr>
        <w:ind w:firstLine="1296"/>
        <w:jc w:val="both"/>
      </w:pPr>
      <w:r>
        <w:t xml:space="preserve">Į 2017-05-26 Tarybos sprendimu Nr. TS-127 suderintas AB „Panevėžio energija“ 2016 metų faktines investicijas ir 2017–2018 metų planuojamas investicijas Rokiškio šilumos tinklų rajone ši investicija nebuvo įtraukta.  2019 metais planuota investicija pradėta įgyvendinti nuo 2017 metų, kai pas vartotojus (naujai pajungiamus ar turinčius senos kartos apskaitos prietaisus, kuriuos būtina pakeisti) pradėti montuoti atsiskaitomieji apskaitos prietaisai, leidžiantys taikyti nuotolinę duomenų nuskaitymo įrangą. Duomenų nuotolinio nuskaitymo įranga, kai vartotojų atsiskaitomųjų apskaitos prietaisų rodmenys pateikiami bendrovės atsakingų asmenų kompiuteriuose, užtikrina tikslesnį prietaisų rodmenų nuskaitymo būdą, padeda išvengti „žmogiškosios klaidos“ faktoriaus, leidžia tiksliau kontroliuoti galimus apskaitos prietaisų gedimus ir kokybiškesnę prietaisų priežiūrą. Investicijos įgyvendinimui pasirinktas pats optimaliausias variantas – duomenų nuotolinio nuskaitymo įrangos montavimas vienu metu su atsiskaitomuoju apskaitos prietaisu (pritaikytu </w:t>
      </w:r>
      <w:r>
        <w:lastRenderedPageBreak/>
        <w:t xml:space="preserve">nuskaitymo įrangos naudojimui) mažina įrengimo išlaidas, leidžia pradėti naudotis nuotoliniu duomenų nuskaitymu iš karto po atsiskaitomojo apskaitos prietaiso įrengimo. Būtiniausiose dėl šios įrangos naudojimo vietose 2017 metais įrengti 10 nuotolinio duomenų nuskaitymo įrangos vienetų </w:t>
      </w:r>
      <w:r w:rsidR="00FA2100">
        <w:t>už</w:t>
      </w:r>
      <w:r>
        <w:t xml:space="preserve"> 4 tūkst. </w:t>
      </w:r>
      <w:proofErr w:type="spellStart"/>
      <w:r>
        <w:t>Eur</w:t>
      </w:r>
      <w:proofErr w:type="spellEnd"/>
      <w:r>
        <w:t>. Derin</w:t>
      </w:r>
      <w:r w:rsidR="00FA2100">
        <w:t>ti</w:t>
      </w:r>
      <w:r>
        <w:t xml:space="preserve"> teikiama investicija įtakos šilumos kainai praktiškai neturės (iki 0,00007 ct/</w:t>
      </w:r>
      <w:proofErr w:type="spellStart"/>
      <w:r>
        <w:t>kWh</w:t>
      </w:r>
      <w:proofErr w:type="spellEnd"/>
      <w:r>
        <w:t>).</w:t>
      </w:r>
    </w:p>
    <w:p w14:paraId="7238F601" w14:textId="4976A484" w:rsidR="00253C24" w:rsidRDefault="00253C24" w:rsidP="00253C24">
      <w:pPr>
        <w:ind w:firstLine="1296"/>
        <w:jc w:val="both"/>
        <w:rPr>
          <w:i/>
        </w:rPr>
      </w:pPr>
      <w:r>
        <w:rPr>
          <w:i/>
          <w:u w:val="single"/>
        </w:rPr>
        <w:t>Duomenų nuotolinio nuskaitymo įranga slėgio kontrolės sistem</w:t>
      </w:r>
      <w:r w:rsidR="00FA2100">
        <w:rPr>
          <w:i/>
          <w:u w:val="single"/>
        </w:rPr>
        <w:t>ai įrengti</w:t>
      </w:r>
      <w:r>
        <w:rPr>
          <w:i/>
        </w:rPr>
        <w:t>.</w:t>
      </w:r>
    </w:p>
    <w:p w14:paraId="0E42859E" w14:textId="77777777" w:rsidR="00253C24" w:rsidRDefault="00253C24" w:rsidP="00253C24">
      <w:pPr>
        <w:ind w:firstLine="1296"/>
        <w:jc w:val="both"/>
        <w:rPr>
          <w:i/>
          <w:sz w:val="10"/>
          <w:szCs w:val="16"/>
        </w:rPr>
      </w:pPr>
      <w:r>
        <w:tab/>
      </w:r>
    </w:p>
    <w:p w14:paraId="7BA8189F" w14:textId="77777777" w:rsidR="00FA2100" w:rsidRDefault="00253C24" w:rsidP="00FA2100">
      <w:pPr>
        <w:jc w:val="both"/>
      </w:pPr>
      <w:r>
        <w:tab/>
        <w:t xml:space="preserve">Į </w:t>
      </w:r>
      <w:r w:rsidR="00FA2100">
        <w:t>ta</w:t>
      </w:r>
      <w:r>
        <w:t xml:space="preserve">rybos </w:t>
      </w:r>
      <w:r w:rsidR="00FA2100">
        <w:t xml:space="preserve">2017-05-26 </w:t>
      </w:r>
      <w:r>
        <w:t xml:space="preserve">sprendimu Nr. TS-127 suderintas AB „Panevėžio energija“ 2016 metų faktines investicijas ir 2017 – 2018 metų planuojamas investicijas Rokiškio šilumos tinklų rajone ši investicija nebuvo įtraukta. Investicija orientuota į patikimo šilumos tiekimo vartotojams užtikrinimą. Duomenų nuotolinio nuskaitymo įranga slėgio kontrolei sumontuojama šilumos tiekimo pajungimo prie vartotojų šildymo sistemos vietoje, </w:t>
      </w:r>
      <w:r w:rsidR="00FA2100">
        <w:t>nuolatiniai</w:t>
      </w:r>
      <w:r>
        <w:t xml:space="preserve"> slėgio pasikeitimų kontrolei užtikrinti. Investicijos įgyvendinimas leis </w:t>
      </w:r>
      <w:r w:rsidR="00FA2100">
        <w:t>nuolat</w:t>
      </w:r>
      <w:r>
        <w:t xml:space="preserve"> kontroliuoti slėgio pokyčius pas vartotojus, operatyviai reaguoti į galimus sutrikimus, tuo užtikrinant kokybišką ir patikimą šilumos tiekimą dėl slėgio pokyčių problemiškiausiems vartotojams. 2018 metais planuojama įrengti 6 duomenų nuotolinio nuskaitymo įrangos slėgio kontrolei vienetus </w:t>
      </w:r>
      <w:r w:rsidR="00FA2100">
        <w:t>už</w:t>
      </w:r>
      <w:r>
        <w:t xml:space="preserve"> 2 tūkst. </w:t>
      </w:r>
      <w:proofErr w:type="spellStart"/>
      <w:r>
        <w:t>Eur</w:t>
      </w:r>
      <w:proofErr w:type="spellEnd"/>
      <w:r w:rsidR="00FA2100">
        <w:t xml:space="preserve">. </w:t>
      </w:r>
      <w:r>
        <w:t>Investicija įtakos šilumos kainai praktiškai neturės (iki 0,00004 ct/</w:t>
      </w:r>
      <w:proofErr w:type="spellStart"/>
      <w:r>
        <w:t>kWh</w:t>
      </w:r>
      <w:proofErr w:type="spellEnd"/>
      <w:r>
        <w:t>).</w:t>
      </w:r>
    </w:p>
    <w:p w14:paraId="7BA818A0" w14:textId="77777777" w:rsidR="00FA2100" w:rsidRDefault="00FA2100" w:rsidP="00FA2100">
      <w:pPr>
        <w:jc w:val="both"/>
      </w:pPr>
      <w:r>
        <w:tab/>
      </w:r>
      <w:r w:rsidR="003A7BA0" w:rsidRPr="00AA122A">
        <w:rPr>
          <w:b/>
        </w:rPr>
        <w:t>Galimos pasekmės, priėmus siūlomą tarybos sprendimo projektą</w:t>
      </w:r>
      <w:r w:rsidR="003A7BA0" w:rsidRPr="00AA122A">
        <w:t>:</w:t>
      </w:r>
    </w:p>
    <w:p w14:paraId="7BA818A1" w14:textId="77777777" w:rsidR="000A153A" w:rsidRDefault="00FA2100" w:rsidP="000A153A">
      <w:pPr>
        <w:jc w:val="both"/>
      </w:pPr>
      <w:r>
        <w:tab/>
      </w:r>
      <w:r w:rsidR="003A7BA0" w:rsidRPr="00AA122A">
        <w:rPr>
          <w:b/>
        </w:rPr>
        <w:t>teigiamos</w:t>
      </w:r>
      <w:r w:rsidR="00D90B93" w:rsidRPr="00AA122A">
        <w:t xml:space="preserve"> – pagerės šilumos tinklų</w:t>
      </w:r>
      <w:r w:rsidR="003A7BA0" w:rsidRPr="00AA122A">
        <w:t xml:space="preserve"> būklė</w:t>
      </w:r>
      <w:r w:rsidR="00D90B93" w:rsidRPr="00AA122A">
        <w:t xml:space="preserve"> Rokiškio mieste</w:t>
      </w:r>
      <w:r>
        <w:t>;</w:t>
      </w:r>
    </w:p>
    <w:p w14:paraId="7BA818A2" w14:textId="77777777" w:rsidR="000A153A" w:rsidRDefault="000A153A" w:rsidP="000A153A">
      <w:pPr>
        <w:jc w:val="both"/>
      </w:pPr>
      <w:r>
        <w:tab/>
      </w:r>
      <w:r w:rsidR="003A7BA0" w:rsidRPr="00AA122A">
        <w:rPr>
          <w:b/>
        </w:rPr>
        <w:t>neigiamos</w:t>
      </w:r>
      <w:r w:rsidR="003A7BA0" w:rsidRPr="00AA122A">
        <w:t xml:space="preserve"> – nėra.</w:t>
      </w:r>
    </w:p>
    <w:p w14:paraId="3B2D9E4C" w14:textId="77777777" w:rsidR="000A153A" w:rsidRDefault="000A153A" w:rsidP="000A153A">
      <w:pPr>
        <w:jc w:val="both"/>
      </w:pPr>
      <w:r>
        <w:tab/>
      </w:r>
      <w:r w:rsidR="00C300CE" w:rsidRPr="00AA122A">
        <w:t>S</w:t>
      </w:r>
      <w:r w:rsidR="005A1BA7" w:rsidRPr="00AA122A">
        <w:rPr>
          <w:b/>
        </w:rPr>
        <w:t>prendimo nauda Rokiškio rajono gyventojams.</w:t>
      </w:r>
      <w:r w:rsidR="00AA122A" w:rsidRPr="00AA122A">
        <w:rPr>
          <w:b/>
        </w:rPr>
        <w:t xml:space="preserve"> </w:t>
      </w:r>
      <w:r w:rsidR="001502D3" w:rsidRPr="004A05CB">
        <w:t>P</w:t>
      </w:r>
      <w:r w:rsidR="00C300CE" w:rsidRPr="004A05CB">
        <w:t>lanuojamos įvykdyti investicijos</w:t>
      </w:r>
      <w:r w:rsidR="002D2783" w:rsidRPr="004A05CB">
        <w:t xml:space="preserve"> bus orientuotos į šilumos gamybos patikimumo ir saugumo užtikrinimą, ekologinės situacijos gerinimą, sumažins avarinių situacijų atsiradimo galimybę,</w:t>
      </w:r>
      <w:r w:rsidR="002D2783" w:rsidRPr="004A05CB">
        <w:rPr>
          <w:bCs/>
          <w:iCs/>
          <w:color w:val="000000"/>
        </w:rPr>
        <w:t xml:space="preserve"> bus sudaryta galimybė operatyviau reaguoti į šilumos gamybos ir tiekimo sutrikimus, reguliuoti šilumos tiekimą vartotojams</w:t>
      </w:r>
      <w:r w:rsidR="002D2783" w:rsidRPr="004A05CB">
        <w:t xml:space="preserve">. </w:t>
      </w:r>
      <w:r w:rsidR="00840C44" w:rsidRPr="004A05CB">
        <w:t>Bendrųjų poreikių investicijos</w:t>
      </w:r>
      <w:r w:rsidR="00C300CE" w:rsidRPr="004A05CB">
        <w:t xml:space="preserve"> </w:t>
      </w:r>
      <w:r w:rsidR="004A5A1D" w:rsidRPr="004A05CB">
        <w:t xml:space="preserve">bus </w:t>
      </w:r>
      <w:r w:rsidR="00840C44" w:rsidRPr="004A05CB">
        <w:rPr>
          <w:iCs/>
        </w:rPr>
        <w:t>skirtos mažinti gamybos išlaid</w:t>
      </w:r>
      <w:r>
        <w:rPr>
          <w:iCs/>
        </w:rPr>
        <w:t>as</w:t>
      </w:r>
      <w:r w:rsidR="00840C44" w:rsidRPr="004A05CB">
        <w:rPr>
          <w:iCs/>
        </w:rPr>
        <w:t>, turės teigiam</w:t>
      </w:r>
      <w:r w:rsidR="00DE0132" w:rsidRPr="004A05CB">
        <w:rPr>
          <w:iCs/>
        </w:rPr>
        <w:t xml:space="preserve">ą įtaką šilumos tarifo kainai, </w:t>
      </w:r>
      <w:r w:rsidR="00840C44" w:rsidRPr="004A05CB">
        <w:rPr>
          <w:iCs/>
        </w:rPr>
        <w:t>bus naudojamos atsiskaitom</w:t>
      </w:r>
      <w:r>
        <w:rPr>
          <w:iCs/>
        </w:rPr>
        <w:t>iesiems</w:t>
      </w:r>
      <w:r w:rsidR="00840C44" w:rsidRPr="004A05CB">
        <w:rPr>
          <w:iCs/>
        </w:rPr>
        <w:t xml:space="preserve"> apskaitos prietais</w:t>
      </w:r>
      <w:r>
        <w:rPr>
          <w:iCs/>
        </w:rPr>
        <w:t>ams</w:t>
      </w:r>
      <w:r w:rsidR="00840C44" w:rsidRPr="004A05CB">
        <w:rPr>
          <w:iCs/>
        </w:rPr>
        <w:t>, įrengiam</w:t>
      </w:r>
      <w:r>
        <w:rPr>
          <w:iCs/>
        </w:rPr>
        <w:t>iems</w:t>
      </w:r>
      <w:r w:rsidR="00840C44" w:rsidRPr="004A05CB">
        <w:rPr>
          <w:iCs/>
        </w:rPr>
        <w:t xml:space="preserve"> vartotojams už AB „Panevėžio energija“ lėšas, įsig</w:t>
      </w:r>
      <w:r>
        <w:rPr>
          <w:iCs/>
        </w:rPr>
        <w:t>yti</w:t>
      </w:r>
      <w:r w:rsidR="00840C44" w:rsidRPr="004A05CB">
        <w:rPr>
          <w:iCs/>
        </w:rPr>
        <w:t xml:space="preserve">. </w:t>
      </w:r>
    </w:p>
    <w:p w14:paraId="31237BED" w14:textId="77777777" w:rsidR="000A153A" w:rsidRDefault="000A153A" w:rsidP="000A153A">
      <w:pPr>
        <w:jc w:val="both"/>
      </w:pPr>
      <w:r>
        <w:tab/>
      </w:r>
      <w:r w:rsidR="003A7BA0" w:rsidRPr="00AA122A">
        <w:rPr>
          <w:b/>
        </w:rPr>
        <w:t>Finansavimo šaltiniai ir lėšų poreikis</w:t>
      </w:r>
      <w:r w:rsidR="00D90B93" w:rsidRPr="00AA122A">
        <w:t xml:space="preserve">. </w:t>
      </w:r>
      <w:r w:rsidR="0011716C" w:rsidRPr="00AA122A">
        <w:t>Struktūrinių fondų</w:t>
      </w:r>
      <w:r w:rsidR="00EB5885" w:rsidRPr="00AA122A">
        <w:t xml:space="preserve"> ir b</w:t>
      </w:r>
      <w:r w:rsidR="00BF264F" w:rsidRPr="00AA122A">
        <w:t xml:space="preserve">endrovės </w:t>
      </w:r>
      <w:r w:rsidR="00D90B93" w:rsidRPr="00AA122A">
        <w:t>lėšos</w:t>
      </w:r>
      <w:r w:rsidR="0011716C" w:rsidRPr="00AA122A">
        <w:t>.</w:t>
      </w:r>
      <w:r w:rsidR="00EB5885" w:rsidRPr="00AA122A">
        <w:t xml:space="preserve"> </w:t>
      </w:r>
    </w:p>
    <w:p w14:paraId="2FFA3BE7" w14:textId="77777777" w:rsidR="000A153A" w:rsidRDefault="000A153A" w:rsidP="000A153A">
      <w:pPr>
        <w:jc w:val="both"/>
      </w:pPr>
      <w:r>
        <w:tab/>
      </w:r>
      <w:r w:rsidR="003A7BA0" w:rsidRPr="00AA122A">
        <w:rPr>
          <w:b/>
        </w:rPr>
        <w:t>Suderinamumas su Lietuvos Respublikos galiojančiais teisės norminiais aktais.</w:t>
      </w:r>
      <w:r w:rsidR="005A1BA7" w:rsidRPr="00AA122A">
        <w:rPr>
          <w:b/>
        </w:rPr>
        <w:t xml:space="preserve"> </w:t>
      </w:r>
      <w:r w:rsidR="003A7BA0" w:rsidRPr="00AA122A">
        <w:t>Projektas</w:t>
      </w:r>
      <w:r w:rsidR="002D2783" w:rsidRPr="00AA122A">
        <w:t xml:space="preserve"> </w:t>
      </w:r>
      <w:r w:rsidR="003A7BA0" w:rsidRPr="00AA122A">
        <w:t>neprieštarauja galiojantiems teisės aktams.</w:t>
      </w:r>
    </w:p>
    <w:p w14:paraId="7BA818A6" w14:textId="739EE50A" w:rsidR="0085663E" w:rsidRPr="000A153A" w:rsidRDefault="000A153A" w:rsidP="000A153A">
      <w:pPr>
        <w:jc w:val="both"/>
      </w:pPr>
      <w:r>
        <w:tab/>
      </w:r>
      <w:r w:rsidR="0085663E" w:rsidRPr="00AA122A">
        <w:rPr>
          <w:b/>
        </w:rPr>
        <w:t>Antikorupcinis vertinimas. T</w:t>
      </w:r>
      <w:r w:rsidR="0085663E" w:rsidRPr="00AA122A">
        <w:t xml:space="preserve">eisės akte nenumatoma reguliuoti visuomeninių santykių, susijusių su LR </w:t>
      </w:r>
      <w:r>
        <w:t>k</w:t>
      </w:r>
      <w:r w:rsidR="0085663E" w:rsidRPr="00AA122A">
        <w:t xml:space="preserve">orupcijos prevencijos įstatymo 8 str. 1 d. numatytais veiksniais, todėl teisės aktas nevertintinas antikorupciniu požiūriu. </w:t>
      </w:r>
    </w:p>
    <w:p w14:paraId="7BA818A7" w14:textId="77777777" w:rsidR="00BE49D8" w:rsidRPr="00AA122A" w:rsidRDefault="00BE49D8" w:rsidP="005A1BA7">
      <w:pPr>
        <w:tabs>
          <w:tab w:val="left" w:pos="709"/>
        </w:tabs>
        <w:jc w:val="both"/>
      </w:pPr>
    </w:p>
    <w:p w14:paraId="7BA818A8" w14:textId="77777777" w:rsidR="00BE49D8" w:rsidRDefault="00BE49D8" w:rsidP="00BF264F">
      <w:pPr>
        <w:tabs>
          <w:tab w:val="left" w:pos="709"/>
        </w:tabs>
        <w:jc w:val="both"/>
      </w:pPr>
    </w:p>
    <w:p w14:paraId="7BA818AE" w14:textId="77777777" w:rsidR="0085663E" w:rsidRDefault="0085663E" w:rsidP="00D23497">
      <w:pPr>
        <w:jc w:val="both"/>
      </w:pPr>
    </w:p>
    <w:p w14:paraId="7BA818BA" w14:textId="77777777" w:rsidR="0085663E" w:rsidRDefault="0085663E" w:rsidP="00D23497">
      <w:pPr>
        <w:jc w:val="both"/>
      </w:pPr>
    </w:p>
    <w:p w14:paraId="7BA818BB" w14:textId="77777777" w:rsidR="0085663E" w:rsidRDefault="0085663E" w:rsidP="00D23497">
      <w:pPr>
        <w:jc w:val="both"/>
      </w:pPr>
    </w:p>
    <w:p w14:paraId="7BA818BC" w14:textId="0AE58F7A" w:rsidR="00E96FE4" w:rsidRDefault="003A7BA0" w:rsidP="00D23497">
      <w:pPr>
        <w:jc w:val="both"/>
      </w:pPr>
      <w:r w:rsidRPr="007060B8">
        <w:t>Statybos ir infrastr</w:t>
      </w:r>
      <w:r w:rsidR="00E96FE4">
        <w:t xml:space="preserve">uktūros plėtros skyriaus </w:t>
      </w:r>
      <w:r w:rsidR="00253C24">
        <w:t xml:space="preserve"> vedėja                                  Vida Paukštienė</w:t>
      </w:r>
    </w:p>
    <w:p w14:paraId="7BA818BD" w14:textId="5211AB4D" w:rsidR="00BF264F" w:rsidRPr="007060B8" w:rsidRDefault="00E96FE4" w:rsidP="00BF264F">
      <w:pPr>
        <w:jc w:val="both"/>
        <w:rPr>
          <w:sz w:val="32"/>
          <w:szCs w:val="32"/>
        </w:rPr>
      </w:pPr>
      <w:r>
        <w:tab/>
      </w:r>
      <w:r>
        <w:tab/>
      </w:r>
      <w:r>
        <w:tab/>
      </w:r>
      <w:r>
        <w:tab/>
      </w:r>
    </w:p>
    <w:sectPr w:rsidR="00BF264F" w:rsidRPr="007060B8" w:rsidSect="00253C24">
      <w:pgSz w:w="11906" w:h="16838" w:code="9"/>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3FF481F"/>
    <w:multiLevelType w:val="hybridMultilevel"/>
    <w:tmpl w:val="6F687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3">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4">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52C4"/>
    <w:rsid w:val="000073F1"/>
    <w:rsid w:val="00012266"/>
    <w:rsid w:val="000126CF"/>
    <w:rsid w:val="000140E8"/>
    <w:rsid w:val="00017654"/>
    <w:rsid w:val="00030A48"/>
    <w:rsid w:val="00030AD1"/>
    <w:rsid w:val="00037974"/>
    <w:rsid w:val="00043F02"/>
    <w:rsid w:val="00046F59"/>
    <w:rsid w:val="00051B47"/>
    <w:rsid w:val="00072401"/>
    <w:rsid w:val="00084BA1"/>
    <w:rsid w:val="00093DA8"/>
    <w:rsid w:val="000A153A"/>
    <w:rsid w:val="000A161D"/>
    <w:rsid w:val="000B2603"/>
    <w:rsid w:val="000C3AAB"/>
    <w:rsid w:val="000C5C6A"/>
    <w:rsid w:val="000E0AEE"/>
    <w:rsid w:val="000F5671"/>
    <w:rsid w:val="000F75EA"/>
    <w:rsid w:val="000F7E07"/>
    <w:rsid w:val="001011FE"/>
    <w:rsid w:val="00110ABD"/>
    <w:rsid w:val="0011716C"/>
    <w:rsid w:val="001178CB"/>
    <w:rsid w:val="00120DD7"/>
    <w:rsid w:val="00120FCA"/>
    <w:rsid w:val="0012484F"/>
    <w:rsid w:val="00132189"/>
    <w:rsid w:val="00132720"/>
    <w:rsid w:val="001339D3"/>
    <w:rsid w:val="001362FE"/>
    <w:rsid w:val="00136F35"/>
    <w:rsid w:val="00141A10"/>
    <w:rsid w:val="00143C2D"/>
    <w:rsid w:val="0014542B"/>
    <w:rsid w:val="0014587E"/>
    <w:rsid w:val="001502D3"/>
    <w:rsid w:val="001507FF"/>
    <w:rsid w:val="001543FE"/>
    <w:rsid w:val="001631B1"/>
    <w:rsid w:val="00165DB5"/>
    <w:rsid w:val="001717F5"/>
    <w:rsid w:val="00181A3E"/>
    <w:rsid w:val="00186AE7"/>
    <w:rsid w:val="0019215D"/>
    <w:rsid w:val="00193D9E"/>
    <w:rsid w:val="001B5C7C"/>
    <w:rsid w:val="001E1455"/>
    <w:rsid w:val="001F1461"/>
    <w:rsid w:val="001F4435"/>
    <w:rsid w:val="001F7BE6"/>
    <w:rsid w:val="002130E9"/>
    <w:rsid w:val="002155C9"/>
    <w:rsid w:val="00217A6B"/>
    <w:rsid w:val="00236D89"/>
    <w:rsid w:val="00237682"/>
    <w:rsid w:val="00253C24"/>
    <w:rsid w:val="00255606"/>
    <w:rsid w:val="00262290"/>
    <w:rsid w:val="00277195"/>
    <w:rsid w:val="00284869"/>
    <w:rsid w:val="00285C4E"/>
    <w:rsid w:val="002B3281"/>
    <w:rsid w:val="002B3917"/>
    <w:rsid w:val="002C55F8"/>
    <w:rsid w:val="002C7D97"/>
    <w:rsid w:val="002D2783"/>
    <w:rsid w:val="002D3C17"/>
    <w:rsid w:val="002E6122"/>
    <w:rsid w:val="002E7AE3"/>
    <w:rsid w:val="00303C20"/>
    <w:rsid w:val="00315900"/>
    <w:rsid w:val="003169EE"/>
    <w:rsid w:val="003202F0"/>
    <w:rsid w:val="00326E60"/>
    <w:rsid w:val="00335A69"/>
    <w:rsid w:val="0034423C"/>
    <w:rsid w:val="003505A9"/>
    <w:rsid w:val="0035101E"/>
    <w:rsid w:val="00352C7E"/>
    <w:rsid w:val="003532D9"/>
    <w:rsid w:val="003553B6"/>
    <w:rsid w:val="00355719"/>
    <w:rsid w:val="003575A7"/>
    <w:rsid w:val="0036008B"/>
    <w:rsid w:val="00367FC5"/>
    <w:rsid w:val="00371DF4"/>
    <w:rsid w:val="00375FD0"/>
    <w:rsid w:val="00387F68"/>
    <w:rsid w:val="00392EBC"/>
    <w:rsid w:val="00394523"/>
    <w:rsid w:val="003A295C"/>
    <w:rsid w:val="003A7BA0"/>
    <w:rsid w:val="003C5881"/>
    <w:rsid w:val="003D03CD"/>
    <w:rsid w:val="003D0851"/>
    <w:rsid w:val="003D6229"/>
    <w:rsid w:val="003F6469"/>
    <w:rsid w:val="004151EF"/>
    <w:rsid w:val="0043152D"/>
    <w:rsid w:val="00431A3D"/>
    <w:rsid w:val="00441256"/>
    <w:rsid w:val="0045154B"/>
    <w:rsid w:val="00451C72"/>
    <w:rsid w:val="00453358"/>
    <w:rsid w:val="004635C3"/>
    <w:rsid w:val="00472CC4"/>
    <w:rsid w:val="00473ABB"/>
    <w:rsid w:val="00493BE5"/>
    <w:rsid w:val="004A05CB"/>
    <w:rsid w:val="004A43EE"/>
    <w:rsid w:val="004A5A1D"/>
    <w:rsid w:val="004B22DD"/>
    <w:rsid w:val="004B7F4A"/>
    <w:rsid w:val="004C1D58"/>
    <w:rsid w:val="004C50EE"/>
    <w:rsid w:val="004D1036"/>
    <w:rsid w:val="004E18D6"/>
    <w:rsid w:val="004E3204"/>
    <w:rsid w:val="004E3C2C"/>
    <w:rsid w:val="00535691"/>
    <w:rsid w:val="005401B0"/>
    <w:rsid w:val="00543BAD"/>
    <w:rsid w:val="00544291"/>
    <w:rsid w:val="005449B3"/>
    <w:rsid w:val="005652D4"/>
    <w:rsid w:val="0057319A"/>
    <w:rsid w:val="00576CD7"/>
    <w:rsid w:val="00595675"/>
    <w:rsid w:val="005A1BA7"/>
    <w:rsid w:val="005A2559"/>
    <w:rsid w:val="005A736D"/>
    <w:rsid w:val="005B0859"/>
    <w:rsid w:val="005B5095"/>
    <w:rsid w:val="005C1CF4"/>
    <w:rsid w:val="005C2292"/>
    <w:rsid w:val="005D451F"/>
    <w:rsid w:val="005D74B9"/>
    <w:rsid w:val="005E2343"/>
    <w:rsid w:val="005E3E29"/>
    <w:rsid w:val="005F0D23"/>
    <w:rsid w:val="005F3E3E"/>
    <w:rsid w:val="00603566"/>
    <w:rsid w:val="00611D29"/>
    <w:rsid w:val="0063478C"/>
    <w:rsid w:val="00634A52"/>
    <w:rsid w:val="00655AD5"/>
    <w:rsid w:val="00655AF1"/>
    <w:rsid w:val="00656F5D"/>
    <w:rsid w:val="00661AFE"/>
    <w:rsid w:val="006679C7"/>
    <w:rsid w:val="006748E2"/>
    <w:rsid w:val="00687360"/>
    <w:rsid w:val="006A62FF"/>
    <w:rsid w:val="006C35D0"/>
    <w:rsid w:val="006C7064"/>
    <w:rsid w:val="00704447"/>
    <w:rsid w:val="007060B8"/>
    <w:rsid w:val="007113CB"/>
    <w:rsid w:val="00714D4D"/>
    <w:rsid w:val="00721474"/>
    <w:rsid w:val="007266D8"/>
    <w:rsid w:val="00727ADB"/>
    <w:rsid w:val="00743EE6"/>
    <w:rsid w:val="0075492E"/>
    <w:rsid w:val="00764280"/>
    <w:rsid w:val="0077038E"/>
    <w:rsid w:val="0077212D"/>
    <w:rsid w:val="0077239D"/>
    <w:rsid w:val="007777C8"/>
    <w:rsid w:val="00780B07"/>
    <w:rsid w:val="00791E0A"/>
    <w:rsid w:val="00794FAE"/>
    <w:rsid w:val="007A05D4"/>
    <w:rsid w:val="007A1558"/>
    <w:rsid w:val="007A7472"/>
    <w:rsid w:val="007B0376"/>
    <w:rsid w:val="007B1F0C"/>
    <w:rsid w:val="007B45C9"/>
    <w:rsid w:val="007D634A"/>
    <w:rsid w:val="007E4433"/>
    <w:rsid w:val="007E5807"/>
    <w:rsid w:val="007E6AD0"/>
    <w:rsid w:val="00812FFB"/>
    <w:rsid w:val="008208AB"/>
    <w:rsid w:val="00820D36"/>
    <w:rsid w:val="00822A9F"/>
    <w:rsid w:val="00822AF1"/>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B09FA"/>
    <w:rsid w:val="008D1BCB"/>
    <w:rsid w:val="008D1CF8"/>
    <w:rsid w:val="008D29DD"/>
    <w:rsid w:val="008D7A7A"/>
    <w:rsid w:val="008E47D4"/>
    <w:rsid w:val="008E4A49"/>
    <w:rsid w:val="008F6BA0"/>
    <w:rsid w:val="0092110C"/>
    <w:rsid w:val="00957A98"/>
    <w:rsid w:val="00976DC0"/>
    <w:rsid w:val="009862D6"/>
    <w:rsid w:val="009A4CEF"/>
    <w:rsid w:val="009A718F"/>
    <w:rsid w:val="009C15D7"/>
    <w:rsid w:val="009C2472"/>
    <w:rsid w:val="009D45A9"/>
    <w:rsid w:val="009E7420"/>
    <w:rsid w:val="009E7D94"/>
    <w:rsid w:val="009F5914"/>
    <w:rsid w:val="009F6BAB"/>
    <w:rsid w:val="009F7009"/>
    <w:rsid w:val="00A063EA"/>
    <w:rsid w:val="00A1737E"/>
    <w:rsid w:val="00A3160D"/>
    <w:rsid w:val="00A34561"/>
    <w:rsid w:val="00A431C9"/>
    <w:rsid w:val="00A43D6E"/>
    <w:rsid w:val="00A47BE9"/>
    <w:rsid w:val="00A6212D"/>
    <w:rsid w:val="00A807E7"/>
    <w:rsid w:val="00A8321F"/>
    <w:rsid w:val="00A8568C"/>
    <w:rsid w:val="00AA122A"/>
    <w:rsid w:val="00AB1BC1"/>
    <w:rsid w:val="00AB7625"/>
    <w:rsid w:val="00AC3AA0"/>
    <w:rsid w:val="00AC7021"/>
    <w:rsid w:val="00AD227E"/>
    <w:rsid w:val="00AE36F3"/>
    <w:rsid w:val="00AE4E4D"/>
    <w:rsid w:val="00AE6899"/>
    <w:rsid w:val="00AF49DC"/>
    <w:rsid w:val="00AF5814"/>
    <w:rsid w:val="00B11224"/>
    <w:rsid w:val="00B12461"/>
    <w:rsid w:val="00B13576"/>
    <w:rsid w:val="00B232F0"/>
    <w:rsid w:val="00B35E33"/>
    <w:rsid w:val="00B416F5"/>
    <w:rsid w:val="00B55FD4"/>
    <w:rsid w:val="00B7118A"/>
    <w:rsid w:val="00B73BD1"/>
    <w:rsid w:val="00B75AC7"/>
    <w:rsid w:val="00B80C9F"/>
    <w:rsid w:val="00B83939"/>
    <w:rsid w:val="00B8486B"/>
    <w:rsid w:val="00B875C8"/>
    <w:rsid w:val="00B87D82"/>
    <w:rsid w:val="00BA245C"/>
    <w:rsid w:val="00BA5AE9"/>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300CE"/>
    <w:rsid w:val="00C418BE"/>
    <w:rsid w:val="00C51343"/>
    <w:rsid w:val="00C63DD2"/>
    <w:rsid w:val="00C729AD"/>
    <w:rsid w:val="00C761CF"/>
    <w:rsid w:val="00C97BA8"/>
    <w:rsid w:val="00CA559D"/>
    <w:rsid w:val="00CA7D60"/>
    <w:rsid w:val="00CA7F9F"/>
    <w:rsid w:val="00CB0552"/>
    <w:rsid w:val="00CB60F0"/>
    <w:rsid w:val="00CC088A"/>
    <w:rsid w:val="00CC361E"/>
    <w:rsid w:val="00CE506B"/>
    <w:rsid w:val="00CE6DF7"/>
    <w:rsid w:val="00CE706A"/>
    <w:rsid w:val="00D05C5F"/>
    <w:rsid w:val="00D064BE"/>
    <w:rsid w:val="00D07A16"/>
    <w:rsid w:val="00D10E71"/>
    <w:rsid w:val="00D12FFA"/>
    <w:rsid w:val="00D133EA"/>
    <w:rsid w:val="00D21B77"/>
    <w:rsid w:val="00D22033"/>
    <w:rsid w:val="00D23497"/>
    <w:rsid w:val="00D42F16"/>
    <w:rsid w:val="00D44E68"/>
    <w:rsid w:val="00D50AB9"/>
    <w:rsid w:val="00D60A6E"/>
    <w:rsid w:val="00D803D3"/>
    <w:rsid w:val="00D82005"/>
    <w:rsid w:val="00D90B93"/>
    <w:rsid w:val="00D93167"/>
    <w:rsid w:val="00DC02CC"/>
    <w:rsid w:val="00DE0132"/>
    <w:rsid w:val="00DE0362"/>
    <w:rsid w:val="00DE3807"/>
    <w:rsid w:val="00DF561D"/>
    <w:rsid w:val="00E061A2"/>
    <w:rsid w:val="00E12A95"/>
    <w:rsid w:val="00E15700"/>
    <w:rsid w:val="00E24D83"/>
    <w:rsid w:val="00E31AD1"/>
    <w:rsid w:val="00E646E2"/>
    <w:rsid w:val="00E96620"/>
    <w:rsid w:val="00E96FE4"/>
    <w:rsid w:val="00EA497D"/>
    <w:rsid w:val="00EB5885"/>
    <w:rsid w:val="00EE3360"/>
    <w:rsid w:val="00EF0EF8"/>
    <w:rsid w:val="00EF7BD4"/>
    <w:rsid w:val="00F015D1"/>
    <w:rsid w:val="00F116E7"/>
    <w:rsid w:val="00F135A7"/>
    <w:rsid w:val="00F16645"/>
    <w:rsid w:val="00F40C23"/>
    <w:rsid w:val="00F51322"/>
    <w:rsid w:val="00F65A4C"/>
    <w:rsid w:val="00F7060F"/>
    <w:rsid w:val="00F74ED8"/>
    <w:rsid w:val="00F83B47"/>
    <w:rsid w:val="00FA2100"/>
    <w:rsid w:val="00FA2653"/>
    <w:rsid w:val="00FA5DF6"/>
    <w:rsid w:val="00FB0F6D"/>
    <w:rsid w:val="00FB2ED2"/>
    <w:rsid w:val="00FB320E"/>
    <w:rsid w:val="00FB5765"/>
    <w:rsid w:val="00FC3008"/>
    <w:rsid w:val="00FC5D13"/>
    <w:rsid w:val="00FD5232"/>
    <w:rsid w:val="00FD67AB"/>
    <w:rsid w:val="00FD7083"/>
    <w:rsid w:val="00FE21FB"/>
    <w:rsid w:val="00FE2E31"/>
    <w:rsid w:val="00FF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8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877">
      <w:bodyDiv w:val="1"/>
      <w:marLeft w:val="0"/>
      <w:marRight w:val="0"/>
      <w:marTop w:val="0"/>
      <w:marBottom w:val="0"/>
      <w:divBdr>
        <w:top w:val="none" w:sz="0" w:space="0" w:color="auto"/>
        <w:left w:val="none" w:sz="0" w:space="0" w:color="auto"/>
        <w:bottom w:val="none" w:sz="0" w:space="0" w:color="auto"/>
        <w:right w:val="none" w:sz="0" w:space="0" w:color="auto"/>
      </w:divBdr>
    </w:div>
    <w:div w:id="549197107">
      <w:bodyDiv w:val="1"/>
      <w:marLeft w:val="0"/>
      <w:marRight w:val="0"/>
      <w:marTop w:val="0"/>
      <w:marBottom w:val="0"/>
      <w:divBdr>
        <w:top w:val="none" w:sz="0" w:space="0" w:color="auto"/>
        <w:left w:val="none" w:sz="0" w:space="0" w:color="auto"/>
        <w:bottom w:val="none" w:sz="0" w:space="0" w:color="auto"/>
        <w:right w:val="none" w:sz="0" w:space="0" w:color="auto"/>
      </w:divBdr>
    </w:div>
    <w:div w:id="884870005">
      <w:bodyDiv w:val="1"/>
      <w:marLeft w:val="0"/>
      <w:marRight w:val="0"/>
      <w:marTop w:val="0"/>
      <w:marBottom w:val="0"/>
      <w:divBdr>
        <w:top w:val="none" w:sz="0" w:space="0" w:color="auto"/>
        <w:left w:val="none" w:sz="0" w:space="0" w:color="auto"/>
        <w:bottom w:val="none" w:sz="0" w:space="0" w:color="auto"/>
        <w:right w:val="none" w:sz="0" w:space="0" w:color="auto"/>
      </w:divBdr>
    </w:div>
    <w:div w:id="898631773">
      <w:bodyDiv w:val="1"/>
      <w:marLeft w:val="0"/>
      <w:marRight w:val="0"/>
      <w:marTop w:val="0"/>
      <w:marBottom w:val="0"/>
      <w:divBdr>
        <w:top w:val="none" w:sz="0" w:space="0" w:color="auto"/>
        <w:left w:val="none" w:sz="0" w:space="0" w:color="auto"/>
        <w:bottom w:val="none" w:sz="0" w:space="0" w:color="auto"/>
        <w:right w:val="none" w:sz="0" w:space="0" w:color="auto"/>
      </w:divBdr>
    </w:div>
    <w:div w:id="1133601395">
      <w:bodyDiv w:val="1"/>
      <w:marLeft w:val="0"/>
      <w:marRight w:val="0"/>
      <w:marTop w:val="0"/>
      <w:marBottom w:val="0"/>
      <w:divBdr>
        <w:top w:val="none" w:sz="0" w:space="0" w:color="auto"/>
        <w:left w:val="none" w:sz="0" w:space="0" w:color="auto"/>
        <w:bottom w:val="none" w:sz="0" w:space="0" w:color="auto"/>
        <w:right w:val="none" w:sz="0" w:space="0" w:color="auto"/>
      </w:divBdr>
    </w:div>
    <w:div w:id="1203010310">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790320893">
      <w:bodyDiv w:val="1"/>
      <w:marLeft w:val="0"/>
      <w:marRight w:val="0"/>
      <w:marTop w:val="0"/>
      <w:marBottom w:val="0"/>
      <w:divBdr>
        <w:top w:val="none" w:sz="0" w:space="0" w:color="auto"/>
        <w:left w:val="none" w:sz="0" w:space="0" w:color="auto"/>
        <w:bottom w:val="none" w:sz="0" w:space="0" w:color="auto"/>
        <w:right w:val="none" w:sz="0" w:space="0" w:color="auto"/>
      </w:divBdr>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098164967">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64D9-855C-42C4-BCAB-F42A1EA3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7802</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2</cp:revision>
  <cp:lastPrinted>2016-05-11T12:45:00Z</cp:lastPrinted>
  <dcterms:created xsi:type="dcterms:W3CDTF">2018-04-25T06:57:00Z</dcterms:created>
  <dcterms:modified xsi:type="dcterms:W3CDTF">2018-04-25T06:57:00Z</dcterms:modified>
</cp:coreProperties>
</file>